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id"/>
        </w:rPr>
        <w:t xml:space="preserve">L4K.2 — Capstone: Pembelaan Mandat</w:t>
      </w:r>
    </w:p>
    <w:p>
      <w:pPr>
        <w:pStyle w:val="Subtitle"/>
      </w:pPr>
      <w:r>
        <w:rPr>
          <w:lang w:val="id"/>
        </w:rPr>
        <w:t xml:space="preserve">Kurikulum Invesmentpedia · Level 4 Profesional · Rumpun K (Kependidikan) · Modul 2 — Capstone</w:t>
      </w:r>
    </w:p>
    <w:p>
      <w:pPr>
        <w:pStyle w:val="Author"/>
      </w:pPr>
      <w:r>
        <w:rPr>
          <w:lang w:val="id"/>
        </w:rPr>
        <w:t xml:space="preserve">Invesmentpedia</w:t>
      </w:r>
    </w:p>
    <w:p>
      <w:pPr>
        <w:pStyle w:val="Date"/>
      </w:pPr>
      <w:r>
        <w:rPr>
          <w:lang w:val="id"/>
        </w:rPr>
        <w:t xml:space="preserve">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rPr>
              <w:lang w:val="id"/>
            </w:rP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40" w:name="l4k.2-capstone-pembelaan-mandat"/>
    <w:p>
      <w:pPr>
        <w:pStyle w:val="Heading1"/>
      </w:pPr>
      <w:r>
        <w:rPr>
          <w:lang w:val="id"/>
        </w:rPr>
        <w:t xml:space="preserve">L4K.2 — Capstone: Pembelaan Mandat</w:t>
      </w:r>
    </w:p>
    <w:bookmarkStart w:id="9" w:name="identitas-dan-kedudukan"/>
    <w:p>
      <w:pPr>
        <w:pStyle w:val="Heading2"/>
      </w:pPr>
      <w:r>
        <w:rPr>
          <w:lang w:val="id"/>
        </w:rPr>
        <w:t xml:space="preserve">1. Identitas dan Kedudukan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Atribut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Kode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L4K.2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Nama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Capstone: Pembelaan Mandat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Jenjang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Level 4 — Profesional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Rumpun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 — Kependidikan (integratif lintas rumpun)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Beban terstruktur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18 JP (15 jam)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pengarahan, konsultasi, pembelaan, penilaian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Beban kerja mandiri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± 73 jam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± 88 jam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Prasyarat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Seluruh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modul inti L4.1–L4.4,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satu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rumpun pilihan diselesaikan penuh, dan L4K.1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Pilar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P1–P6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CPL terkait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CPL-1 sampai CPL-9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Kanon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K-01 sampai K-12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Kedudukan.</w:t>
      </w:r>
      <w:r>
        <w:rPr>
          <w:lang w:val="id"/>
        </w:rPr>
        <w:t xml:space="preserve"> </w:t>
      </w:r>
      <w:r>
        <w:rPr>
          <w:lang w:val="id"/>
        </w:rPr>
        <w:t xml:space="preserve">Capstone ini adalah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gerbang terakhir Level 4.</w:t>
      </w:r>
      <w:r>
        <w:rPr>
          <w:lang w:val="id"/>
        </w:rPr>
        <w:t xml:space="preserve"> </w:t>
      </w:r>
      <w:r>
        <w:rPr>
          <w:lang w:val="id"/>
        </w:rPr>
        <w:t xml:space="preserve">Ia tidak mengajarkan materi baru; ia menuntut kandidat menyusun satu mandat utuh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mempertahankannya di hadapan panel yang berusaha menjatuhkannya.</w:t>
      </w:r>
    </w:p>
    <w:p>
      <w:r>
        <w:pict>
          <v:rect style="width:0;height:1.5pt" o:hralign="center" o:hrstd="t" o:hr="t"/>
        </w:pict>
      </w:r>
    </w:p>
    <w:bookmarkEnd w:id="9"/>
    <w:bookmarkStart w:id="14" w:name="X04087e4f2b62e943b87d845fa5b663d07437d8a"/>
    <w:p>
      <w:pPr>
        <w:pStyle w:val="Heading2"/>
      </w:pPr>
      <w:r>
        <w:rPr>
          <w:lang w:val="id"/>
        </w:rPr>
        <w:t xml:space="preserve">2. Prinsip Penilaian — dibaca sebelum menyusun apa pun</w:t>
      </w:r>
    </w:p>
    <w:p>
      <w:pPr>
        <w:pStyle w:val="FirstParagraph"/>
      </w:pPr>
      <w:r>
        <w:rPr>
          <w:lang w:val="id"/>
        </w:rPr>
        <w:t xml:space="preserve">Seluruh kurikulum ini berulang kali sampai pada satu kesimpulan yang sama: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hasil yang paling kita pedulikan tidak dapat diukur dalam waktu yang tersedia.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3168"/>
        <w:gridCol w:w="2376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Yang ingin diukur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Waktu yang dibutuhkan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Sumber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Membedakan Sharpe 0,50 dari nol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16,0 tahun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§2.1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Membuktikan pengajaran menaikkan imbal hasil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44,4 tahun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L4K.1 §4.5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Memvalidasi 274 keputusan makro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45,7 tahun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Memvalidasi satu sistem perdagangan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234–923 transaksi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L3T.4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Capstone ini karena itu dibangun di atas satu keputusan:</w:t>
      </w:r>
    </w:p>
    <w:p>
      <w:pPr>
        <w:pStyle w:val="BlockText"/>
      </w:pPr>
      <w:r>
        <w:rPr>
          <w:b/>
          <w:bCs/>
          <w:lang w:val="id"/>
        </w:rPr>
        <w:t xml:space="preserve">Yang tidak dapat diukur tidak dinilai. Yang dinilai adalah yang benar-benar dapat diukur dalam waktu yang tersedia — proses, kalibrasi, dan kemampuan mempertahankan penalaran di bawah tekanan.</w:t>
      </w:r>
    </w:p>
    <w:bookmarkStart w:id="10" w:name="mengapa-imbal-hasil-tidak-dinilai"/>
    <w:p>
      <w:pPr>
        <w:pStyle w:val="Heading3"/>
      </w:pPr>
      <w:r>
        <w:rPr>
          <w:lang w:val="id"/>
        </w:rPr>
        <w:t xml:space="preserve">2.1 Mengapa imbal hasil tidak dinilai</w:t>
      </w:r>
    </w:p>
    <w:p>
      <w:pPr>
        <w:pStyle w:val="FirstParagraph"/>
      </w:pPr>
      <w:r>
        <w:rPr>
          <w:lang w:val="id"/>
        </w:rPr>
        <w:t xml:space="preserve">Membedakan kandidat berketerampilan (Sharpe 0,50) dari kandidat tanpa keterampilan: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Periode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S</m:t>
              </m:r>
              <m:r>
                <m:t>E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t</m:t>
              </m:r>
            </m:oMath>
            <w:r>
              <w:rPr>
                <w:lang w:val="id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 bulan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0,25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1,000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0,577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0,87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0,447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1,12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0,316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1,58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16 tahun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0,250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2,00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Dan selama periode mandat 12 minggu: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94"/>
        <w:gridCol w:w="4525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Kejadian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Peluang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Kandidat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berketerampilan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(Sharpe 0,50) menunjukkan hasil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negatif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40,5%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Kandidat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merusak nilai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(Sharpe −0,30) menunjukkan hasil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positif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55,7%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Kandidat yang buruk mengalahkan kandidat yang baik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39,3%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Menilai kandidat dari imbal hasil pada periode ini akan salah pada hampir empat dari sepuluh perbandingan.</w:t>
      </w:r>
    </w:p>
    <w:p>
      <w:pPr>
        <w:pStyle w:val="BodyText"/>
      </w:pPr>
      <w:r>
        <w:rPr>
          <w:b/>
          <w:bCs/>
          <w:lang w:val="id"/>
        </w:rPr>
        <w:t xml:space="preserve">Karena itu — dan ini aturan operasional, bukan pernyataan filosofis:</w:t>
      </w:r>
    </w:p>
    <w:p>
      <w:pPr>
        <w:pStyle w:val="BlockText"/>
      </w:pPr>
      <w:r>
        <w:rPr>
          <w:b/>
          <w:bCs/>
          <w:lang w:val="id"/>
        </w:rPr>
        <w:t xml:space="preserve">Seluruh angka imbal hasil dihapus dari dokumen sebelum dokumen diserahkan kepada panel. Panel tidak melihatnya, tidak menanyakannya, dan tidak mempertimbangkannya.</w:t>
      </w:r>
    </w:p>
    <w:p>
      <w:pPr>
        <w:pStyle w:val="FirstParagraph"/>
      </w:pPr>
      <w:r>
        <w:rPr>
          <w:lang w:val="id"/>
        </w:rPr>
        <w:t xml:space="preserve">Aturan ini identik dengan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L3-Proyek</w:t>
      </w:r>
      <w:r>
        <w:rPr>
          <w:lang w:val="id"/>
        </w:rPr>
        <w:t xml:space="preserve">, dan berlaku dengan alasan yang sama.</w:t>
      </w:r>
    </w:p>
    <w:bookmarkEnd w:id="10"/>
    <w:bookmarkStart w:id="11" w:name="apa-yang-dapat-diukur-kalibrasi"/>
    <w:p>
      <w:pPr>
        <w:pStyle w:val="Heading3"/>
      </w:pPr>
      <w:r>
        <w:rPr>
          <w:lang w:val="id"/>
        </w:rPr>
        <w:t xml:space="preserve">2.2 Apa yang dapat diukur: kalibrasi</w:t>
      </w:r>
    </w:p>
    <w:p>
      <w:pPr>
        <w:pStyle w:val="FirstParagraph"/>
      </w:pPr>
      <w:r>
        <w:rPr>
          <w:b/>
          <w:bCs/>
          <w:lang w:val="id"/>
        </w:rPr>
        <w:t xml:space="preserve">Kalibrasi dapat diukur dengan cepat.</w:t>
      </w:r>
      <w:r>
        <w:rPr>
          <w:lang w:val="id"/>
        </w:rPr>
        <w:t xml:space="preserve"> </w:t>
      </w:r>
      <w:r>
        <w:rPr>
          <w:lang w:val="id"/>
        </w:rPr>
        <w:t xml:space="preserve">Kandidat menyatakan sejumlah klaim pada tingkat keyakinan tertentu; panel memeriksa proporsi yang benar.</w:t>
      </w:r>
    </w:p>
    <w:p>
      <w:pPr>
        <w:pStyle w:val="BodyText"/>
      </w:pPr>
      <w:r>
        <w:rPr>
          <w:lang w:val="id"/>
        </w:rPr>
        <w:t xml:space="preserve">Untuk mendeteksi kandidat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menyatakan 90% tetapi sebenarnya 72% akurat</w:t>
      </w:r>
      <w:r>
        <w:rPr>
          <w:lang w:val="id"/>
        </w:rPr>
        <w:t xml:space="preserve"> </w:t>
      </w:r>
      <w:r>
        <w:rPr>
          <w:lang w:val="id"/>
        </w:rPr>
        <w:t xml:space="preserve">— angka tipikal dari L4.4: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klaim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z</m:t>
              </m:r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Peluang terdeteksi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1,90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47,5%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2,68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76,5%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3,23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89,8%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4,24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98,9%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Dua puluh sembilan klaim memberi daya 89,8%.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16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t> </m:t>
              </m:r>
              <m:r>
                <m:rPr>
                  <m:nor/>
                  <m:sty m:val="p"/>
                </m:rPr>
                <m:t>tahun</m:t>
              </m:r>
            </m:num>
            <m:den>
              <m:r>
                <m:t>29</m:t>
              </m:r>
              <m:r>
                <m:t> </m:t>
              </m:r>
              <m:r>
                <m:rPr>
                  <m:nor/>
                  <m:sty m:val="p"/>
                </m:rPr>
                <m:t>klaim</m:t>
              </m:r>
            </m:den>
          </m:f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rPr>
              <m:nor/>
              <m:sty m:val="b"/>
            </m:rPr>
            <m:t>inilah alasan kalibrasi dinilai dan imbal hasil tidak.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Tetapi kalibrasi saja tidak cukup</w:t>
      </w:r>
      <w:r>
        <w:rPr>
          <w:lang w:val="id"/>
        </w:rPr>
        <w:t xml:space="preserve">, dan ini harus dinyatakan agar tidak disalahgunakan: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Perilaku kandidat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Terkalibrasi?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Berguna?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 70% pada setiap klaim, dan 70% benar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Ya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Menyatakan 95% dan 60% secara tepat sesuai kasus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Ya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Skor Brier mengukurnya: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Perilaku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Brier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Terkalibrasi sempurna pada 0,70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0,2100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Terlalu percaya diri (menyatakan 0,90, sebenarnya 0,70)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0,2500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Terlalu berhati-hati (menyatakan 0,50, sebenarnya 0,70)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0,2500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Acuan: selalu menyatakan frekuensi dasar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0,2100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Baris pertama dan terakhir sama.</w:t>
      </w:r>
      <w:r>
        <w:rPr>
          <w:lang w:val="id"/>
        </w:rPr>
        <w:t xml:space="preserve"> </w:t>
      </w:r>
      <w:r>
        <w:rPr>
          <w:lang w:val="id"/>
        </w:rPr>
        <w:t xml:space="preserve">Kandidat yang selalu menyatakan frekuensi dasar terkalibrasi sempurna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dan tidak memberi informasi apa pun.</w:t>
      </w:r>
    </w:p>
    <w:p>
      <w:pPr>
        <w:pStyle w:val="BodyText"/>
      </w:pPr>
      <w:r>
        <w:rPr>
          <w:b/>
          <w:bCs/>
          <w:lang w:val="id"/>
        </w:rPr>
        <w:t xml:space="preserve">Karena itu kalibrasi dinilai bersama daya pembeda:</w:t>
      </w:r>
      <w:r>
        <w:rPr>
          <w:lang w:val="id"/>
        </w:rPr>
        <w:t xml:space="preserve"> </w:t>
      </w:r>
      <w:r>
        <w:rPr>
          <w:lang w:val="id"/>
        </w:rPr>
        <w:t xml:space="preserve">apakah kandidat menyatakan keyakinan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berbeda</w:t>
      </w:r>
      <w:r>
        <w:rPr>
          <w:lang w:val="id"/>
        </w:rPr>
        <w:t xml:space="preserve"> </w:t>
      </w:r>
      <w:r>
        <w:rPr>
          <w:lang w:val="id"/>
        </w:rPr>
        <w:t xml:space="preserve">untuk kasus yang berbeda, dan apakah perbedaan itu benar.</w:t>
      </w:r>
    </w:p>
    <w:bookmarkEnd w:id="11"/>
    <w:bookmarkStart w:id="12" w:name="X788c8a42dcdbad874d4706235b086533542e77b"/>
    <w:p>
      <w:pPr>
        <w:pStyle w:val="Heading3"/>
      </w:pPr>
      <w:r>
        <w:rPr>
          <w:lang w:val="id"/>
        </w:rPr>
        <w:t xml:space="preserve">2.3 Apa yang dapat diukur: proses — dan berapa penilai yang dibutuhkan</w:t>
      </w:r>
    </w:p>
    <w:p>
      <w:pPr>
        <w:pStyle w:val="FirstParagraph"/>
      </w:pPr>
      <w:r>
        <w:rPr>
          <w:lang w:val="id"/>
        </w:rPr>
        <w:t xml:space="preserve">Penilaian proses bersifat subjektif, sehingga reliabilitasnya harus dihitung, bukan diasumsikan.</w:t>
      </w:r>
    </w:p>
    <w:p>
      <w:pPr>
        <w:pStyle w:val="BodyText"/>
      </w:pPr>
      <w:r>
        <w:rPr>
          <w:b/>
          <w:bCs/>
          <w:lang w:val="id"/>
        </w:rPr>
        <w:t xml:space="preserve">Reliabilitas panel</w:t>
      </w:r>
      <w:r>
        <w:rPr>
          <w:lang w:val="id"/>
        </w:rPr>
        <w:t xml:space="preserve"> </w:t>
      </w:r>
      <w:r>
        <w:rPr>
          <w:lang w:val="id"/>
        </w:rPr>
        <w:t xml:space="preserve">(Spearman-Brown), dengan</w:t>
      </w:r>
      <w:r>
        <w:rPr>
          <w:lang w:val="id"/>
        </w:rP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rPr>
          <w:lang w:val="id"/>
        </w:rPr>
        <w:t xml:space="preserve"> </w:t>
      </w:r>
      <w:r>
        <w:rPr>
          <w:lang w:val="id"/>
        </w:rPr>
        <w:t xml:space="preserve">= reliabilitas satu penilai: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m:oMath>
              <m:sSub>
                <m:e>
                  <m:r>
                    <m:t>r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k</m:t>
              </m:r>
            </m:oMath>
            <w:r>
              <w:rPr>
                <w:lang w:val="id"/>
              </w:rPr>
              <w:t xml:space="preserve">=1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k</m:t>
              </m:r>
            </m:oMath>
            <w:r>
              <w:rPr>
                <w:lang w:val="id"/>
              </w:rPr>
              <w:t xml:space="preserve">=2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k</m:t>
              </m:r>
            </m:oMath>
            <w:r>
              <w:rPr>
                <w:lang w:val="id"/>
              </w:rPr>
              <w:t xml:space="preserve">=3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k</m:t>
              </m:r>
            </m:oMath>
            <w:r>
              <w:rPr>
                <w:lang w:val="id"/>
              </w:rPr>
              <w:t xml:space="preserve">=4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k</m:t>
              </m:r>
            </m:oMath>
            <w:r>
              <w:rPr>
                <w:lang w:val="id"/>
              </w:rPr>
              <w:t xml:space="preserve">=5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0,45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0,450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0,621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0,711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0,766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0,804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0,600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0,818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0,857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0,882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0,75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0,857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0,900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0,923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0,938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Penilai yang dibutuhkan untuk reliabilitas panel ≥ 0,80: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m:oMath>
              <m:sSub>
                <m:e>
                  <m:r>
                    <m:t>r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lang w:val="id"/>
              </w:rPr>
              <w:t xml:space="preserve">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Penilai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0,45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0,60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0,75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</w:tr>
    </w:tbl>
    <w:p>
      <w:pPr>
        <w:pStyle w:val="BlockText"/>
      </w:pPr>
      <w:r>
        <w:rPr>
          <w:b/>
          <w:bCs/>
          <w:lang w:val="id"/>
        </w:rPr>
        <w:t xml:space="preserve">Panel capstone terdiri dari TIGA penilai.</w:t>
      </w:r>
      <w:r>
        <w:rPr>
          <w:lang w:val="id"/>
        </w:rPr>
        <w:t xml:space="preserve"> </w:t>
      </w:r>
      <w:r>
        <w:rPr>
          <w:lang w:val="id"/>
        </w:rPr>
        <w:t xml:space="preserve">Angka itu bukan kebiasaan — ia berasal dari</w:t>
      </w:r>
      <w:r>
        <w:rPr>
          <w:lang w:val="id"/>
        </w:rP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60</m:t>
        </m:r>
      </m:oMath>
      <w:r>
        <w:rPr>
          <w:lang w:val="id"/>
        </w:rPr>
        <w:t xml:space="preserve"> </w:t>
      </w:r>
      <w:r>
        <w:rPr>
          <w:lang w:val="id"/>
        </w:rPr>
        <w:t xml:space="preserve">yang wajar untuk rubrik terstruktur, dan menghasilkan reliabilitas panel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0,818.</w:t>
      </w:r>
    </w:p>
    <w:p>
      <w:pPr>
        <w:pStyle w:val="FirstParagraph"/>
      </w:pPr>
      <w:r>
        <w:rPr>
          <w:b/>
          <w:bCs/>
          <w:lang w:val="id"/>
        </w:rPr>
        <w:t xml:space="preserve">Tiga penilai juga membenarkan diri melalui dimensi knockout.</w:t>
      </w:r>
      <w:r>
        <w:rPr>
          <w:lang w:val="id"/>
        </w:rPr>
        <w:t xml:space="preserve"> </w:t>
      </w:r>
      <w:r>
        <w:rPr>
          <w:lang w:val="id"/>
        </w:rPr>
        <w:t xml:space="preserve">Bila peluang seorang penilai keliru pada satu dimensi adalah 10%: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Penilai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P</m:t>
              </m:r>
            </m:oMath>
            <w:r>
              <w:rPr>
                <w:lang w:val="id"/>
              </w:rPr>
              <w:t xml:space="preserve">(salah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lulus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pada satu knockout)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10,0000%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0,1000%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Faktor 100×</w:t>
      </w:r>
      <w:r>
        <w:rPr>
          <w:lang w:val="id"/>
        </w:rPr>
        <w:t xml:space="preserve"> </w:t>
      </w:r>
      <w:r>
        <w:rPr>
          <w:lang w:val="id"/>
        </w:rPr>
        <w:t xml:space="preserve">— dan itu berlaku pada dimensi yang justru paling merugikan bila salah.</w:t>
      </w:r>
    </w:p>
    <w:bookmarkEnd w:id="12"/>
    <w:bookmarkStart w:id="13" w:name="mengapa-ada-pembelaan-lisan"/>
    <w:p>
      <w:pPr>
        <w:pStyle w:val="Heading3"/>
      </w:pPr>
      <w:r>
        <w:rPr>
          <w:lang w:val="id"/>
        </w:rPr>
        <w:t xml:space="preserve">2.4 Mengapa ada pembelaan lisan</w:t>
      </w:r>
    </w:p>
    <w:p>
      <w:pPr>
        <w:pStyle w:val="FirstParagraph"/>
      </w:pPr>
      <w:r>
        <w:rPr>
          <w:b/>
          <w:bCs/>
          <w:lang w:val="id"/>
        </w:rPr>
        <w:t xml:space="preserve">Dokumen dapat disiapkan. Jawaban atas pertanyaan yang tidak diduga tidak dapat.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Bentuk penilaian</w:t>
            </w:r>
          </w:p>
        </w:tc>
        <w:tc>
          <w:tcPr/>
          <w:p>
            <w:pPr>
              <w:pStyle w:val="Compact"/>
              <w:jc w:val="right"/>
            </w:pPr>
            <m:oMath>
              <m:r>
                <m:t>P</m:t>
              </m:r>
            </m:oMath>
            <w:r>
              <w:rPr>
                <w:lang w:val="id"/>
              </w:rPr>
              <w:t xml:space="preserve">(membedakan yang memahami dari yang menyalin)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Dokumen saja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55%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Dokumen + 3 pertanyaan lanjutan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Dokumen + pembelaan penuh (8 pertanyaan)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93%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Dokumen saja hampir tidak lebih baik daripada lemparan koin</w:t>
      </w:r>
      <w:r>
        <w:rPr>
          <w:lang w:val="id"/>
        </w:rPr>
        <w:t xml:space="preserve"> </w:t>
      </w:r>
      <w:r>
        <w:rPr>
          <w:lang w:val="id"/>
        </w:rPr>
        <w:t xml:space="preserve">dalam membedakan kandidat yang memahami dari yang menyalin.</w:t>
      </w:r>
    </w:p>
    <w:p>
      <w:pPr>
        <w:pStyle w:val="BodyText"/>
      </w:pPr>
      <w:r>
        <w:rPr>
          <w:b/>
          <w:bCs/>
          <w:lang w:val="id"/>
        </w:rPr>
        <w:t xml:space="preserve">Yang membuat pembelaan bekerja bukan pertanyaan pertamanya, melainkan pertanyaan lanjutannya</w:t>
      </w:r>
      <w:r>
        <w:rPr>
          <w:lang w:val="id"/>
        </w:rPr>
        <w:t xml:space="preserve"> </w:t>
      </w:r>
      <w:r>
        <w:rPr>
          <w:lang w:val="id"/>
        </w:rPr>
        <w:t xml:space="preserve">—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“mengapa bukan X?”</w:t>
      </w:r>
      <w:r>
        <w:rPr>
          <w:lang w:val="id"/>
        </w:rPr>
        <w:t xml:space="preserve">,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“apa yang akan mengubah pendirian Anda?”</w:t>
      </w:r>
      <w:r>
        <w:rPr>
          <w:lang w:val="id"/>
        </w:rPr>
        <w:t xml:space="preserve">,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“bagian mana dari analisis ini yang paling lemah?”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21" w:name="komponen-capstone"/>
    <w:p>
      <w:pPr>
        <w:pStyle w:val="Heading2"/>
      </w:pPr>
      <w:r>
        <w:rPr>
          <w:lang w:val="id"/>
        </w:rPr>
        <w:t xml:space="preserve">3. Komponen Capstone</w:t>
      </w:r>
    </w:p>
    <w:p>
      <w:pPr>
        <w:pStyle w:val="FirstParagraph"/>
      </w:pPr>
      <w:r>
        <w:rPr>
          <w:lang w:val="id"/>
        </w:rPr>
        <w:t xml:space="preserve">Kandidat menyerahkan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enam dokumen</w:t>
      </w:r>
      <w:r>
        <w:rPr>
          <w:lang w:val="id"/>
        </w:rPr>
        <w:t xml:space="preserve">. Seluruhnya adalah templat yang sudah diisi sepanjang Level 4 — capstone menuntut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konsistensi di antara keenamnya</w:t>
      </w:r>
      <w:r>
        <w:rPr>
          <w:lang w:val="id"/>
        </w:rPr>
        <w:t xml:space="preserve">, bukan penyusunan dari nol.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62"/>
        <w:gridCol w:w="1697"/>
        <w:gridCol w:w="1697"/>
        <w:gridCol w:w="2262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Dokumen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Sumber templat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Jam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Mandat dan Pernyataan Kebijakan Investasi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L4A.1 §4.5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Memo Investasi Institusional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L4.4 §4.5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Protokol Riset Sinyal</w:t>
            </w:r>
            <w:r>
              <w:rPr>
                <w:lang w:val="id"/>
              </w:rPr>
              <w:t xml:space="preserve"> </w:t>
            </w:r>
            <w:r>
              <w:rPr>
                <w:i/>
                <w:iCs/>
                <w:lang w:val="id"/>
              </w:rPr>
              <w:t xml:space="preserve">atau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Kerangka Kustodi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L4Q.1 §4.8 / L4D.1 §4.8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Kerangka Eksekusi</w:t>
            </w:r>
            <w:r>
              <w:rPr>
                <w:lang w:val="id"/>
              </w:rPr>
              <w:t xml:space="preserve"> </w:t>
            </w:r>
            <w:r>
              <w:rPr>
                <w:i/>
                <w:iCs/>
                <w:lang w:val="id"/>
              </w:rPr>
              <w:t xml:space="preserve">atau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Protokol Analitik On-Chain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L4Q.2 §4.8 / L4D.2 §4.8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Piagam Praktik Edukasi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L4K.1 §4.8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Pra-mortem dan Lembar Kalibrasi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§3.6 di bawah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</w:t>
            </w:r>
          </w:p>
        </w:tc>
      </w:tr>
    </w:tbl>
    <w:p>
      <w:pPr>
        <w:pStyle w:val="BodyText"/>
      </w:pPr>
      <w:r>
        <w:rPr>
          <w:lang w:val="id"/>
        </w:rPr>
        <w:t xml:space="preserve">Ditambah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persiapan pembelaan</w:t>
      </w:r>
      <w:r>
        <w:rPr>
          <w:lang w:val="id"/>
        </w:rPr>
        <w:t xml:space="preserve"> </w:t>
      </w:r>
      <w:r>
        <w:rPr>
          <w:lang w:val="id"/>
        </w:rPr>
        <w:t xml:space="preserve">(14 jam)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pembelaan lisan</w:t>
      </w:r>
      <w:r>
        <w:rPr>
          <w:lang w:val="id"/>
        </w:rPr>
        <w:t xml:space="preserve"> </w:t>
      </w:r>
      <w:r>
        <w:rPr>
          <w:lang w:val="id"/>
        </w:rPr>
        <w:t xml:space="preserve">(2 jam).</w:t>
      </w:r>
    </w:p>
    <w:p>
      <w:pPr>
        <w:pStyle w:val="BodyText"/>
      </w:pPr>
      <w:r>
        <w:rPr>
          <w:b/>
          <w:bCs/>
          <w:lang w:val="id"/>
        </w:rPr>
        <w:t xml:space="preserve">Dokumen 3 dan 4 dipilih sesuai rumpun yang diambil kandidat:</w:t>
      </w:r>
      <w:r>
        <w:rPr>
          <w:lang w:val="id"/>
        </w:rPr>
        <w:t xml:space="preserve"> </w:t>
      </w:r>
      <w:r>
        <w:rPr>
          <w:lang w:val="id"/>
        </w:rPr>
        <w:t xml:space="preserve">Rumpun Q memakai Protokol Riset dan Kerangka Eksekusi; Rumpun D memakai Kerangka Kustodi dan Protokol Analitik.</w:t>
      </w:r>
    </w:p>
    <w:bookmarkStart w:id="15" w:name="dokumen-1-mandat-dan-ips"/>
    <w:p>
      <w:pPr>
        <w:pStyle w:val="Heading3"/>
      </w:pPr>
      <w:r>
        <w:rPr>
          <w:lang w:val="id"/>
        </w:rPr>
        <w:t xml:space="preserve">3.1 Dokumen 1 — Mandat dan IPS</w:t>
      </w:r>
    </w:p>
    <w:p>
      <w:pPr>
        <w:pStyle w:val="FirstParagraph"/>
      </w:pPr>
      <w:r>
        <w:rPr>
          <w:lang w:val="id"/>
        </w:rPr>
        <w:t xml:space="preserve">Wajib memuat, dengan angka: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Unsur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Rujukan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Tiga dimensi profil risiko: kapasitas, toleransi, kebutuhan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L4A.1 §4.1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Modal manusia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dan</w:t>
            </w:r>
            <w:r>
              <w:rPr>
                <w:lang w:val="id"/>
              </w:rP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H</m:t>
                  </m:r>
                  <m:r>
                    <m:t>C</m:t>
                  </m:r>
                </m:sub>
              </m:sSub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yang dipakai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L4A.1 §4.2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Volatilitas yang tersirat dari kebutuhan imbal hasil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L4A.1 §4.4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Penurunan nilai yang menyertainya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L4A.1 §4.4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Batas eksposur dan aturan penyeimbangan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L3.2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Uji konsistensi yang akan dijalankan panel:</w:t>
      </w:r>
      <w:r>
        <w:rPr>
          <w:lang w:val="id"/>
        </w:rPr>
        <w:t xml:space="preserve"> </w:t>
      </w:r>
      <w:r>
        <w:rPr>
          <w:lang w:val="id"/>
        </w:rPr>
        <w:t xml:space="preserve">apakah alokasi pada Dokumen 2 benar-benar mengikuti batas pada Dokumen 1, atau hanya diletakkan berdampingan.</w:t>
      </w:r>
    </w:p>
    <w:bookmarkEnd w:id="15"/>
    <w:bookmarkStart w:id="16" w:name="dokumen-2-memo-investasi"/>
    <w:p>
      <w:pPr>
        <w:pStyle w:val="Heading3"/>
      </w:pPr>
      <w:r>
        <w:rPr>
          <w:lang w:val="id"/>
        </w:rPr>
        <w:t xml:space="preserve">3.2 Dokumen 2 — Memo Investasi</w:t>
      </w:r>
    </w:p>
    <w:p>
      <w:pPr>
        <w:pStyle w:val="FirstParagraph"/>
      </w:pPr>
      <w:r>
        <w:rPr>
          <w:lang w:val="id"/>
        </w:rPr>
        <w:t xml:space="preserve">Sembilan bagian sesuai L4.4 §4.5.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Tiga syarat yang paling sering gagal: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Bentuk kegagalan yang umum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Klaim tanpa sumber yang dapat ditelusuri dihapus</w:t>
            </w:r>
            <w:r>
              <w:rPr>
                <w:lang w:val="id"/>
              </w:rPr>
              <w:t xml:space="preserve">, bukan diberi catatan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Klaim dipertahankan dengan catatan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“perlu diverifikasi”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Pra-mortem memuat ≥ 5 jalur kegagalan berbeda</w:t>
            </w:r>
            <w:r>
              <w:rPr>
                <w:lang w:val="id"/>
              </w:rPr>
              <w:t xml:space="preserve">, termasuk kesalahan penulis sendiri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Lima jalur yang semuanya eksternal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Setiap angka dapat direproduksi dari angka lain dalam dokumen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Angka ringkasan tidak cocok dengan rinciannya</w:t>
            </w:r>
          </w:p>
        </w:tc>
      </w:tr>
    </w:tbl>
    <w:bookmarkEnd w:id="16"/>
    <w:bookmarkStart w:id="17" w:name="dokumen-3-dan-4-rumpun-pilihan"/>
    <w:p>
      <w:pPr>
        <w:pStyle w:val="Heading3"/>
      </w:pPr>
      <w:r>
        <w:rPr>
          <w:lang w:val="id"/>
        </w:rPr>
        <w:t xml:space="preserve">3.3 Dokumen 3 dan 4 — Rumpun pilihan</w:t>
      </w:r>
    </w:p>
    <w:p>
      <w:pPr>
        <w:pStyle w:val="FirstParagraph"/>
      </w:pPr>
      <w:r>
        <w:rPr>
          <w:lang w:val="id"/>
        </w:rPr>
        <w:t xml:space="preserve">Diisi lengkap sesuai templat rumpun.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Bagian yang wajib terisi dan sering kosong: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Rumpun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Bagian yang wajib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Q</w:t>
            </w:r>
          </w:p>
        </w:tc>
        <w:tc>
          <w:tcPr/>
          <w:p>
            <w:pPr>
              <w:pStyle w:val="Compac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pengujian yang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sebenarnya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dilakukan; kapasitas dari modal/ADV; IS diukur dari harga keputusan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Jumlah kustodian yang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benar-benar independen</w:t>
            </w:r>
            <w:r>
              <w:rPr>
                <w:lang w:val="id"/>
              </w:rPr>
              <w:t xml:space="preserve">; uji kepunahan pada panel token; skema</w:t>
            </w:r>
            <w:r>
              <w:rPr>
                <w:lang w:val="id"/>
              </w:rPr>
              <w:t xml:space="preserve"> </w:t>
            </w:r>
            <m:oMath>
              <m:r>
                <m:t>m</m:t>
              </m:r>
            </m:oMath>
            <w:r>
              <w:rPr>
                <w:lang w:val="id"/>
              </w:rPr>
              <w:t xml:space="preserve">-dari-</w:t>
            </w:r>
            <m:oMath>
              <m:r>
                <m:t>n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dengan</w:t>
            </w:r>
            <w:r>
              <w:rPr>
                <w:lang w:val="id"/>
              </w:rPr>
              <w:t xml:space="preserve"> </w:t>
            </w:r>
            <m:oMath>
              <m:r>
                <m:t>P</m:t>
              </m:r>
            </m:oMath>
            <w:r>
              <w:rPr>
                <w:lang w:val="id"/>
              </w:rPr>
              <w:t xml:space="preserve">(kejadian 10 tahun)</w:t>
            </w:r>
          </w:p>
        </w:tc>
      </w:tr>
    </w:tbl>
    <w:bookmarkEnd w:id="17"/>
    <w:bookmarkStart w:id="18" w:name="dokumen-5-piagam-etika"/>
    <w:p>
      <w:pPr>
        <w:pStyle w:val="Heading3"/>
      </w:pPr>
      <w:r>
        <w:rPr>
          <w:lang w:val="id"/>
        </w:rPr>
        <w:t xml:space="preserve">3.4 Dokumen 5 — Piagam Etika</w:t>
      </w:r>
    </w:p>
    <w:p>
      <w:pPr>
        <w:pStyle w:val="FirstParagraph"/>
      </w:pPr>
      <w:r>
        <w:rPr>
          <w:lang w:val="id"/>
        </w:rPr>
        <w:t xml:space="preserve">Ditandatangani.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Bagian 7.1 (jumlah calon peserta yang ditunda) wajib diisi dengan angka</w:t>
      </w:r>
      <w:r>
        <w:rPr>
          <w:lang w:val="id"/>
        </w:rPr>
        <w:t xml:space="preserve">, dan angka nol wajib disertai penjelasan (L4K.1 §4.7).</w:t>
      </w:r>
    </w:p>
    <w:bookmarkEnd w:id="18"/>
    <w:bookmarkStart w:id="19" w:name="konsistensi-lintas-dokumen"/>
    <w:p>
      <w:pPr>
        <w:pStyle w:val="Heading3"/>
      </w:pPr>
      <w:r>
        <w:rPr>
          <w:lang w:val="id"/>
        </w:rPr>
        <w:t xml:space="preserve">3.5 Konsistensi lintas dokumen</w:t>
      </w:r>
    </w:p>
    <w:p>
      <w:pPr>
        <w:pStyle w:val="FirstParagraph"/>
      </w:pPr>
      <w:r>
        <w:rPr>
          <w:b/>
          <w:bCs/>
          <w:lang w:val="id"/>
        </w:rPr>
        <w:t xml:space="preserve">Panel menilai keenam dokumen sebagai satu kesatuan.</w:t>
      </w:r>
      <w:r>
        <w:rPr>
          <w:lang w:val="id"/>
        </w:rPr>
        <w:t xml:space="preserve"> </w:t>
      </w:r>
      <w:r>
        <w:rPr>
          <w:lang w:val="id"/>
        </w:rPr>
        <w:t xml:space="preserve">Empat uji konsistensi dijalankan: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Uji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Bentuk kegagalan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Batas risiko di Dokumen 1 = batas yang dipakai di Dokumen 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Angka berbeda tanpa penjelasan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Kapasitas di Dokumen 3/4 ≥ modal di Dokumen 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Mandat melampaui kapasitas yang dihitung sendiri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Konflik di Dokumen 5 = konflik yang diungkap di Dokumen 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Konflik muncul di satu dokumen saja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Pra-mortem di Dokumen 6 menyebut kelemahan yang nyata di Dokumen 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Pra-mortem tidak menyentuh dokumen sendiri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Uji 4 adalah yang paling sering gagal</w:t>
      </w:r>
      <w:r>
        <w:rPr>
          <w:lang w:val="id"/>
        </w:rPr>
        <w:t xml:space="preserve">, dan kegagalannya menandakan pra-mortem disusun sebagai formalitas.</w:t>
      </w:r>
    </w:p>
    <w:bookmarkEnd w:id="19"/>
    <w:bookmarkStart w:id="20" w:name="X1f573621c229a13e9a0a7846321a5569eb444c8"/>
    <w:p>
      <w:pPr>
        <w:pStyle w:val="Heading3"/>
      </w:pPr>
      <w:r>
        <w:rPr>
          <w:lang w:val="id"/>
        </w:rPr>
        <w:t xml:space="preserve">3.6 Dokumen 6 — Pra-mortem dan Lembar Kalibrasi</w:t>
      </w:r>
    </w:p>
    <w:p>
      <w:pPr>
        <w:pStyle w:val="FirstParagraph"/>
      </w:pPr>
      <w:r>
        <w:rPr>
          <w:b/>
          <w:bCs/>
          <w:lang w:val="id"/>
        </w:rPr>
        <w:t xml:space="preserve">Bagian A — Pra-mortem.</w:t>
      </w:r>
      <w:r>
        <w:rPr>
          <w:lang w:val="id"/>
        </w:rPr>
        <w:t xml:space="preserve"> </w:t>
      </w:r>
      <w:r>
        <w:rPr>
          <w:lang w:val="id"/>
        </w:rPr>
        <w:t xml:space="preserve">Ditulis dalam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bentuk lampau</w:t>
      </w:r>
      <w:r>
        <w:rPr>
          <w:lang w:val="id"/>
        </w:rPr>
        <w:t xml:space="preserve">, seolah mandat sudah gagal:</w:t>
      </w:r>
    </w:p>
    <w:p>
      <w:pPr>
        <w:pStyle w:val="BlockText"/>
      </w:pPr>
      <w:r>
        <w:rPr>
          <w:i/>
          <w:iCs/>
          <w:lang w:val="id"/>
        </w:rPr>
        <w:t xml:space="preserve">“Tiga tahun kemudian mandat ini gagal. Inilah yang terjadi…”</w:t>
      </w:r>
    </w:p>
    <w:p>
      <w:pPr>
        <w:pStyle w:val="FirstParagraph"/>
      </w:pPr>
      <w:r>
        <w:rPr>
          <w:lang w:val="id"/>
        </w:rPr>
        <w:t xml:space="preserve">Wajib memuat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≥ 5 jalur berbeda</w:t>
      </w:r>
      <w:r>
        <w:rPr>
          <w:lang w:val="id"/>
        </w:rPr>
        <w:t xml:space="preserve">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sekurang-kurangnya satu</w:t>
      </w:r>
      <w:r>
        <w:rPr>
          <w:lang w:val="id"/>
        </w:rPr>
        <w:t xml:space="preserve"> </w:t>
      </w:r>
      <w:r>
        <w:rPr>
          <w:lang w:val="id"/>
        </w:rPr>
        <w:t xml:space="preserve">harus berupa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kesalahan penulis sendiri</w:t>
      </w:r>
      <w:r>
        <w:rPr>
          <w:lang w:val="id"/>
        </w:rPr>
        <w:t xml:space="preserve"> </w:t>
      </w:r>
      <w:r>
        <w:rPr>
          <w:lang w:val="id"/>
        </w:rPr>
        <w:t xml:space="preserve">— bukan peristiwa pasar, bukan tindakan pihak lain.</w:t>
      </w:r>
    </w:p>
    <w:p>
      <w:pPr>
        <w:pStyle w:val="BodyText"/>
      </w:pPr>
      <w:r>
        <w:rPr>
          <w:b/>
          <w:bCs/>
          <w:lang w:val="id"/>
        </w:rPr>
        <w:t xml:space="preserve">Bagian B — Lembar Kalibrasi.</w:t>
      </w:r>
      <w:r>
        <w:rPr>
          <w:lang w:val="id"/>
        </w:rPr>
        <w:t xml:space="preserve"> </w:t>
      </w:r>
      <w:r>
        <w:rPr>
          <w:lang w:val="id"/>
        </w:rPr>
        <w:t xml:space="preserve">Kandidat menyatakan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29 klaim</w:t>
      </w:r>
      <w:r>
        <w:rPr>
          <w:lang w:val="id"/>
        </w:rPr>
        <w:t xml:space="preserve"> </w:t>
      </w:r>
      <w:r>
        <w:rPr>
          <w:lang w:val="id"/>
        </w:rPr>
        <w:t xml:space="preserve">yang dapat diperiksa kebenarannya, masing-masing dengan tingkat keyakinan yang dinyatakan.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Syarat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Keterangan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Jumlah klaim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29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Bentuk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Dapat diperiksa benar/salah oleh panel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Tingkat keyakinan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Dinyatakan dalam persen untuk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setiap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klaim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Variasi keyakinan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Wajib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klaim tidak boleh seluruhnya pada tingkat yang sama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Syarat terakhir menegakkan §2.2:</w:t>
      </w:r>
      <w:r>
        <w:rPr>
          <w:lang w:val="id"/>
        </w:rPr>
        <w:t xml:space="preserve"> </w:t>
      </w:r>
      <w:r>
        <w:rPr>
          <w:lang w:val="id"/>
        </w:rPr>
        <w:t xml:space="preserve">kandidat yang menyatakan angka yang sama untuk setiap klaim terkalibrasi tanpa memberi informasi.</w:t>
      </w:r>
    </w:p>
    <w:p>
      <w:pPr>
        <w:pStyle w:val="BodyText"/>
      </w:pPr>
      <w:r>
        <w:rPr>
          <w:b/>
          <w:bCs/>
          <w:lang w:val="id"/>
        </w:rPr>
        <w:t xml:space="preserve">Yang dinilai: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Ukuran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Cara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Kalibrasi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Proporsi benar pada tiap tingkat keyakinan vs tingkat yang dinyatakan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Daya pembeda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klaim berkeyakinan tinggi lebih sering benar daripada yang rendah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Skor Brier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Dibandingkan dengan acuan frekuensi dasar (0,2100)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"/>
    <w:bookmarkEnd w:id="21"/>
    <w:bookmarkStart w:id="24" w:name="protokol-pembelaan"/>
    <w:p>
      <w:pPr>
        <w:pStyle w:val="Heading2"/>
      </w:pPr>
      <w:r>
        <w:rPr>
          <w:lang w:val="id"/>
        </w:rPr>
        <w:t xml:space="preserve">4. Protokol Pembelaan</w:t>
      </w:r>
    </w:p>
    <w:p>
      <w:pPr>
        <w:pStyle w:val="FirstParagraph"/>
      </w:pPr>
      <w:r>
        <w:rPr>
          <w:b/>
          <w:bCs/>
          <w:lang w:val="id"/>
        </w:rPr>
        <w:t xml:space="preserve">Durasi: 90 menit.</w:t>
      </w:r>
      <w:r>
        <w:rPr>
          <w:lang w:val="id"/>
        </w:rPr>
        <w:t xml:space="preserve"> </w:t>
      </w:r>
      <w:r>
        <w:rPr>
          <w:lang w:val="id"/>
        </w:rPr>
        <w:t xml:space="preserve">Tiga penilai. Kandidat tidak mengetahui pertanyaan sebelumnya.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3168"/>
        <w:gridCol w:w="2376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Tahap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Waktu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Isi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 menit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Kandidat memaparkan mandat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tanpa slide, tanpa catatan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40 menit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Delapan pertanyaan wajib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(§4.1)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20 menit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 lanjutan bebas dari panel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 menit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Pembelaan balik</w:t>
            </w:r>
            <w:r>
              <w:rPr>
                <w:lang w:val="id"/>
              </w:rPr>
              <w:t xml:space="preserve">: kandidat menyatakan di mana panel keliru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 menit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Panel berunding tanpa kandidat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Tahap 4 bukan formalitas.</w:t>
      </w:r>
      <w:r>
        <w:rPr>
          <w:lang w:val="id"/>
        </w:rPr>
        <w:t xml:space="preserve"> </w:t>
      </w:r>
      <w:r>
        <w:rPr>
          <w:lang w:val="id"/>
        </w:rPr>
        <w:t xml:space="preserve">Kandidat yang tidak pernah menyatakan ketidaksetujuan atas apa pun dalam 60 menit sebelumnya menunjukkan sesuatu yang dinilai pada D3 dan D6.</w:t>
      </w:r>
    </w:p>
    <w:bookmarkStart w:id="22" w:name="delapan-pertanyaan-wajib"/>
    <w:p>
      <w:pPr>
        <w:pStyle w:val="Heading3"/>
      </w:pPr>
      <w:r>
        <w:rPr>
          <w:lang w:val="id"/>
        </w:rPr>
        <w:t xml:space="preserve">4.1 Delapan pertanyaan wajib</w:t>
      </w:r>
    </w:p>
    <w:p>
      <w:pPr>
        <w:pStyle w:val="FirstParagraph"/>
      </w:pPr>
      <w:r>
        <w:rPr>
          <w:lang w:val="id"/>
        </w:rPr>
        <w:t xml:space="preserve">Ditanyakan kepada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setiap</w:t>
      </w:r>
      <w:r>
        <w:rPr>
          <w:lang w:val="id"/>
        </w:rPr>
        <w:t xml:space="preserve"> </w:t>
      </w:r>
      <w:r>
        <w:rPr>
          <w:lang w:val="id"/>
        </w:rPr>
        <w:t xml:space="preserve">kandidat, dalam urutan apa pun: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Menguji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Angka mana dalam dokumen Anda yang paling mungkin salah, dan bagaimana Anda mengetahuinya?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Kejujuran epistemik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Berapa</w:t>
            </w:r>
            <w:r>
              <w:rPr>
                <w:b/>
                <w:bCs/>
                <w:lang w:val="id"/>
              </w:rPr>
              <w:t xml:space="preserve"> </w:t>
            </w:r>
            <m:oMath>
              <m:r>
                <m:t>N</m:t>
              </m:r>
            </m:oMath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pengujian yang benar-benar Anda lakukan, termasuk yang gagal?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L4Q.1 / K-11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Apa yang akan mengubah pendirian Anda atas tesis utama?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Falsifiabilitas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Mengapa bukan pendekatan X?</w:t>
            </w:r>
            <w:r>
              <w:rPr>
                <w:lang w:val="id"/>
              </w:rPr>
              <w:t xml:space="preserve"> </w:t>
            </w:r>
            <w:r>
              <w:rPr>
                <w:i/>
                <w:iCs/>
                <w:lang w:val="id"/>
              </w:rPr>
              <w:t xml:space="preserve">(panel memilih alternatif yang wajar)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Penalaran, bukan hafalan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Di mana kepentingan Anda berbeda dari kepentingan pemberi mandat?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L4.2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Bila mandat ini gagal karena kesalahan Anda sendiri, kesalahan apa itu?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Pra-mortem yang nyata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Apa yang tidak Anda ketahui dan tidak dapat Anda ketahui di sini?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Batas kompetensi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Bagaimana Anda menyampaikan kerugian 25% kepada pemberi mandat?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L4.3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Pertanyaan 1 dan 6 adalah yang paling membedakan.</w:t>
      </w:r>
      <w:r>
        <w:rPr>
          <w:lang w:val="id"/>
        </w:rPr>
        <w:t xml:space="preserve"> </w:t>
      </w:r>
      <w:r>
        <w:rPr>
          <w:lang w:val="id"/>
        </w:rPr>
        <w:t xml:space="preserve">Kandidat yang menjawab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“saya rasa semuanya sudah benar”</w:t>
      </w:r>
      <w:r>
        <w:rPr>
          <w:lang w:val="id"/>
        </w:rPr>
        <w:t xml:space="preserve"> </w:t>
      </w:r>
      <w:r>
        <w:rPr>
          <w:lang w:val="id"/>
        </w:rPr>
        <w:t xml:space="preserve">atau</w:t>
      </w:r>
      <w:r>
        <w:rPr>
          <w:lang w:val="id"/>
        </w:rPr>
        <w:t xml:space="preserve"> </w:t>
      </w:r>
      <w:r>
        <w:rPr>
          <w:i/>
          <w:iCs/>
          <w:lang w:val="id"/>
        </w:rPr>
        <w:t xml:space="preserve">“kegagalannya akan datang dari pasar”</w:t>
      </w:r>
      <w:r>
        <w:rPr>
          <w:lang w:val="id"/>
        </w:rPr>
        <w:t xml:space="preserve"> </w:t>
      </w:r>
      <w:r>
        <w:rPr>
          <w:lang w:val="id"/>
        </w:rPr>
        <w:t xml:space="preserve">telah menjawab pertanyaan yang berbeda dari yang diajukan.</w:t>
      </w:r>
    </w:p>
    <w:bookmarkEnd w:id="22"/>
    <w:bookmarkStart w:id="23" w:name="yang-tidak-boleh-ditanyakan"/>
    <w:p>
      <w:pPr>
        <w:pStyle w:val="Heading3"/>
      </w:pPr>
      <w:r>
        <w:rPr>
          <w:lang w:val="id"/>
        </w:rPr>
        <w:t xml:space="preserve">4.2 Yang tidak boleh ditanyakan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Dilarang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Alasan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Berapa imbal hasil portofolio simulasi Anda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§2.1 — angka sudah dihapus dan tidak dinilai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Apakah menurut Anda aset X akan naik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Melanggar batas edukasi/advisori (L4K.1 §4.2)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 hukum, pajak, atau perizinan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Batas kompetensi (L4A.2 §1.1, L4D.1 §1.1)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 yang tidak berhubungan dengan dokumen yang diserahkan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Bukan penilaian atas karya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Start w:id="30" w:name="rubrik-dan-ambang"/>
    <w:p>
      <w:pPr>
        <w:pStyle w:val="Heading2"/>
      </w:pPr>
      <w:r>
        <w:rPr>
          <w:lang w:val="id"/>
        </w:rPr>
        <w:t xml:space="preserve">5. Rubrik dan Ambang</w:t>
      </w:r>
    </w:p>
    <w:bookmarkStart w:id="25" w:name="bobot"/>
    <w:p>
      <w:pPr>
        <w:pStyle w:val="Heading3"/>
      </w:pPr>
      <w:r>
        <w:rPr>
          <w:lang w:val="id"/>
        </w:rPr>
        <w:t xml:space="preserve">5.1 Bobot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Dimensi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Bobot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D1 Penguasaan konsep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D2 Ketepatan kuantitatif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D3 Penalaran &amp; kerangka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20%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D4 Perlakuan risiko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KNOCKOUT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D5 Disiplin proses —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KNOCKOUT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D6 Komunikasi &amp; etika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100%</w:t>
            </w:r>
          </w:p>
        </w:tc>
      </w:tr>
    </w:tbl>
    <w:bookmarkEnd w:id="25"/>
    <w:bookmarkStart w:id="26" w:name="rubrik"/>
    <w:p>
      <w:pPr>
        <w:pStyle w:val="Heading3"/>
      </w:pPr>
      <w:r>
        <w:rPr>
          <w:lang w:val="id"/>
        </w:rPr>
        <w:t xml:space="preserve">5.2 Rubrik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Menjelaskan mengapa setiap kerangka dipakai dan di mana ia tidak berlaku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Menguasai kerangka lintas rumpun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Menguasai sebagian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Mengulang materi tanpa penerapan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angka dapat direproduksi dari dokumen; kandidat menemukan sendiri kekeliruannya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Benar dengan kekeliruan kecil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Beberapa kekeliruan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Angka tidak dapat direproduksi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Enam dokumen konsisten; menjawab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“mengapa bukan X”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dengan penalaran, bukan hafalan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Kerangka koheren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Komponen terpisah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Dokumen saling bertentangan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Kapasitas, penurunan nilai, dan kegagalan dihitung; prosedur sudah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diuji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Risiko dinilai memadai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Disebut tanpa angka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Mandat melampaui kapasitas yang dihitung sendiri, atau prosedur kegagalan belum diuji → 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D5</w:t>
            </w:r>
          </w:p>
        </w:tc>
        <w:tc>
          <w:tcPr/>
          <w:p>
            <w:pPr>
              <w:pStyle w:val="Compact"/>
            </w:pPr>
            <m:oMath>
              <m:r>
                <m:t>N</m:t>
              </m:r>
            </m:oMath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dicatat; batas kompetensi dijaga; konflik diungkap konsisten di semua dokumen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Terdokumentasi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Sebagian</w:t>
            </w:r>
          </w:p>
        </w:tc>
        <w:tc>
          <w:tcPr/>
          <w:p>
            <w:pPr>
              <w:pStyle w:val="Compact"/>
            </w:pPr>
            <m:oMath>
              <m:r>
                <m:t>N</m:t>
              </m:r>
            </m:oMath>
            <w:r>
              <w:rPr>
                <w:b/>
                <w:bCs/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tidak dicatat, batas kompetensi dilanggar, atau konflik muncul di satu dokumen saja → GAGAL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D6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Menyampaikan kelemahan sendiri tanpa diminta; menyatakan ketidaksetujuan yang beralasan pada Tahap 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Jujur dan jelas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Kurang lengkap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Menyembunyikan kelemahan yang ditemukan panel</w:t>
            </w:r>
          </w:p>
        </w:tc>
      </w:tr>
    </w:tbl>
    <w:bookmarkEnd w:id="26"/>
    <w:bookmarkStart w:id="27" w:name="ambang"/>
    <w:p>
      <w:pPr>
        <w:pStyle w:val="Heading3"/>
      </w:pPr>
      <w:r>
        <w:rPr>
          <w:lang w:val="id"/>
        </w:rPr>
        <w:t xml:space="preserve">5.3 Ambang</w:t>
      </w:r>
    </w:p>
    <w:p>
      <w:pPr>
        <w:pStyle w:val="BlockText"/>
      </w:pPr>
      <w:r>
        <w:rPr>
          <w:b/>
          <w:bCs/>
          <w:lang w:val="id"/>
        </w:rPr>
        <w:t xml:space="preserve">LULUS bila: rata-rata tertimbang ≥ 3,00 DAN D4 ≥ 2 DAN D5 ≥ 2.</w:t>
      </w:r>
    </w:p>
    <w:p>
      <w:pPr>
        <w:pStyle w:val="FirstParagraph"/>
      </w:pPr>
      <w:r>
        <w:rPr>
          <w:b/>
          <w:bCs/>
          <w:lang w:val="id"/>
        </w:rPr>
        <w:t xml:space="preserve">Dua contoh yang menunjukkan cara knockout bekerja:</w:t>
      </w:r>
    </w:p>
    <w:p>
      <w:pPr>
        <w:pStyle w:val="BodyText"/>
      </w:pPr>
      <w:r>
        <w:rPr>
          <w:b/>
          <w:bCs/>
          <w:lang w:val="id"/>
        </w:rPr>
        <w:t xml:space="preserve">Contoh A</w:t>
      </w:r>
      <w:r>
        <w:rPr>
          <w:lang w:val="id"/>
        </w:rPr>
        <w:t xml:space="preserve"> </w:t>
      </w:r>
      <w:r>
        <w:rPr>
          <w:lang w:val="id"/>
        </w:rPr>
        <w:t xml:space="preserve">— nilai 3,5 · 3,0 · 3,5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2,0</w:t>
      </w:r>
      <w:r>
        <w:rPr>
          <w:lang w:val="id"/>
        </w:rPr>
        <w:t xml:space="preserve"> </w:t>
      </w:r>
      <w:r>
        <w:rPr>
          <w:lang w:val="id"/>
        </w:rPr>
        <w:t xml:space="preserve">· 3,0 · 3,5</w:t>
      </w:r>
    </w:p>
    <w:p>
      <w:pPr>
        <w:pStyle w:val="BodyText"/>
      </w:pPr>
      <m:oMathPara>
        <m:oMathParaPr>
          <m:jc m:val="center"/>
        </m:oMathParaPr>
        <m:oMath>
          <m:r>
            <m:t>0</m:t>
          </m:r>
          <m:r>
            <m:rPr>
              <m:sty m:val="p"/>
            </m:rPr>
            <m:t>,</m:t>
          </m:r>
          <m:r>
            <m:t>15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,</m:t>
          </m:r>
          <m:r>
            <m:t>5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20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20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,</m:t>
          </m:r>
          <m:r>
            <m:t>5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15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15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15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,</m:t>
          </m:r>
          <m:r>
            <m:t>5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b"/>
            </m:rPr>
            <m:t>3</m:t>
          </m:r>
          <m:r>
            <m:rPr>
              <m:sty m:val="b"/>
            </m:rPr>
            <m:t>,</m:t>
          </m:r>
          <m:r>
            <m:rPr>
              <m:sty m:val="b"/>
            </m:rPr>
            <m:t>100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3</m:t>
          </m:r>
          <m:r>
            <m:rPr>
              <m:sty m:val="p"/>
            </m:rPr>
            <m:t>,</m:t>
          </m:r>
          <m:r>
            <m:t>100</m:t>
          </m:r>
          <m:r>
            <m:rPr>
              <m:sty m:val="p"/>
            </m:rPr>
            <m:t>≥</m:t>
          </m:r>
          <m:r>
            <m:t>3</m:t>
          </m:r>
          <m:r>
            <m:rPr>
              <m:sty m:val="p"/>
            </m:rPr>
            <m:t>,</m:t>
          </m:r>
          <m:r>
            <m:t>00</m:t>
          </m:r>
          <m:r>
            <m:t> </m:t>
          </m:r>
          <m:r>
            <m:rPr>
              <m:nor/>
              <m:sty m:val="p"/>
            </m:rPr>
            <m:t>dan</m:t>
          </m:r>
          <m:r>
            <m:t> </m:t>
          </m:r>
          <m:r>
            <m:t>D</m:t>
          </m:r>
          <m:r>
            <m:t>4</m:t>
          </m:r>
          <m:r>
            <m:rPr>
              <m:sty m:val="p"/>
            </m:rPr>
            <m:t>=</m:t>
          </m:r>
          <m:r>
            <m:t>2</m:t>
          </m:r>
          <m:r>
            <m:rPr>
              <m:sty m:val="p"/>
            </m:rPr>
            <m:t>≥</m:t>
          </m:r>
          <m:r>
            <m:t>2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rPr>
              <m:nor/>
              <m:sty m:val="b"/>
            </m:rPr>
            <m:t>LULUS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Contoh B</w:t>
      </w:r>
      <w:r>
        <w:rPr>
          <w:lang w:val="id"/>
        </w:rPr>
        <w:t xml:space="preserve"> </w:t>
      </w:r>
      <w:r>
        <w:rPr>
          <w:lang w:val="id"/>
        </w:rPr>
        <w:t xml:space="preserve">— nilai 4,0 · 4,0 · 4,0 ·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1,0</w:t>
      </w:r>
      <w:r>
        <w:rPr>
          <w:lang w:val="id"/>
        </w:rPr>
        <w:t xml:space="preserve"> </w:t>
      </w:r>
      <w:r>
        <w:rPr>
          <w:lang w:val="id"/>
        </w:rPr>
        <w:t xml:space="preserve">· 4,0 · 4,0</w:t>
      </w:r>
    </w:p>
    <w:p>
      <w:pPr>
        <w:pStyle w:val="BodyText"/>
      </w:pPr>
      <m:oMathPara>
        <m:oMathParaPr>
          <m:jc m:val="center"/>
        </m:oMathParaPr>
        <m:oMath>
          <m:r>
            <m:t>0</m:t>
          </m:r>
          <m:r>
            <m:rPr>
              <m:sty m:val="p"/>
            </m:rPr>
            <m:t>,</m:t>
          </m:r>
          <m:r>
            <m:t>15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20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20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15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15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0</m:t>
          </m:r>
          <m:r>
            <m:rPr>
              <m:sty m:val="p"/>
            </m:rPr>
            <m:t>,</m:t>
          </m:r>
          <m:r>
            <m:t>15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,</m:t>
          </m:r>
          <m:r>
            <m:t>0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b"/>
            </m:rPr>
            <m:t>3</m:t>
          </m:r>
          <m:r>
            <m:rPr>
              <m:sty m:val="b"/>
            </m:rPr>
            <m:t>,</m:t>
          </m:r>
          <m:r>
            <m:rPr>
              <m:sty m:val="b"/>
            </m:rPr>
            <m:t>550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t>3</m:t>
          </m:r>
          <m:r>
            <m:rPr>
              <m:sty m:val="p"/>
            </m:rPr>
            <m:t>,</m:t>
          </m:r>
          <m:r>
            <m:t>550</m:t>
          </m:r>
          <m:r>
            <m:rPr>
              <m:sty m:val="p"/>
            </m:rPr>
            <m:t>≥</m:t>
          </m:r>
          <m:r>
            <m:t>3</m:t>
          </m:r>
          <m:r>
            <m:rPr>
              <m:sty m:val="p"/>
            </m:rPr>
            <m:t>,</m:t>
          </m:r>
          <m:r>
            <m:t>00</m:t>
          </m:r>
          <m:r>
            <m:t> </m:t>
          </m:r>
          <m:r>
            <m:rPr>
              <m:nor/>
              <m:sty m:val="p"/>
            </m:rPr>
            <m:t>tetapi</m:t>
          </m:r>
          <m:r>
            <m:t> </m:t>
          </m:r>
          <m:r>
            <m:t>D</m:t>
          </m:r>
          <m:r>
            <m:t>4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&lt;</m:t>
          </m:r>
          <m:r>
            <m:t>2</m:t>
          </m:r>
          <m:r>
            <m:t> </m:t>
          </m:r>
          <m:r>
            <m:rPr>
              <m:sty m:val="p"/>
            </m:rPr>
            <m:t>⇒</m:t>
          </m:r>
          <m:r>
            <m:t> </m:t>
          </m:r>
          <m:r>
            <m:rPr>
              <m:nor/>
              <m:sty m:val="b"/>
            </m:rPr>
            <m:t>GAGAL</m:t>
          </m:r>
        </m:oMath>
      </m:oMathPara>
    </w:p>
    <w:p>
      <w:pPr>
        <w:pStyle w:val="FirstParagraph"/>
      </w:pPr>
      <w:r>
        <w:rPr>
          <w:b/>
          <w:bCs/>
          <w:lang w:val="id"/>
        </w:rPr>
        <w:t xml:space="preserve">Kandidat kedua memperoleh rata-rata lebih tinggi dan tetap gagal.</w:t>
      </w:r>
      <w:r>
        <w:rPr>
          <w:lang w:val="id"/>
        </w:rPr>
        <w:t xml:space="preserve"> </w:t>
      </w:r>
      <w:r>
        <w:rPr>
          <w:lang w:val="id"/>
        </w:rPr>
        <w:t xml:space="preserve">Itulah arti knockout: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keunggulan pada dimensi lain tidak menggantikan perlakuan risiko yang tidak memadai.</w:t>
      </w:r>
    </w:p>
    <w:bookmarkEnd w:id="27"/>
    <w:bookmarkStart w:id="28" w:name="prosedur-penilaian"/>
    <w:p>
      <w:pPr>
        <w:pStyle w:val="Heading3"/>
      </w:pPr>
      <w:r>
        <w:rPr>
          <w:lang w:val="id"/>
        </w:rPr>
        <w:t xml:space="preserve">5.4 Prosedur penilaian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Langkah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Ketentuan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Tiga penilai menilai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secara terpisah</w:t>
            </w:r>
            <w:r>
              <w:rPr>
                <w:lang w:val="id"/>
              </w:rPr>
              <w:t xml:space="preserve">, tanpa berunding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Nilai dikumpulkan sebelum perundingan dimulai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Selisih ≥ 2 tingkat pada satu dimensi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wajib dibahas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Nilai akhir = rata-rata ketiganya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Knockout berlaku bila mayoritas (≥ 2 dari 3) menilai dimensi knockout di bawah 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Kandidat menerima nilai per dimensi beserta alasannya, tertulis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Langkah 1 tidak dapat ditawar.</w:t>
      </w:r>
      <w:r>
        <w:rPr>
          <w:lang w:val="id"/>
        </w:rPr>
        <w:t xml:space="preserve"> </w:t>
      </w:r>
      <w:r>
        <w:rPr>
          <w:lang w:val="id"/>
        </w:rPr>
        <w:t xml:space="preserve">Penilai yang berunding sebelum menilai menghasilkan satu penilaian yang terdengar seperti tiga, dan reliabilitas 0,818 pada §2.3 mengandaikan penilaian yang independen.</w:t>
      </w:r>
    </w:p>
    <w:bookmarkEnd w:id="28"/>
    <w:bookmarkStart w:id="29" w:name="mengulang"/>
    <w:p>
      <w:pPr>
        <w:pStyle w:val="Heading3"/>
      </w:pPr>
      <w:r>
        <w:rPr>
          <w:lang w:val="id"/>
        </w:rPr>
        <w:t xml:space="preserve">5.5 Mengulang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Hasil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Ketentuan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Rata-rata &lt; 3,00, knockout terpenuhi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Perbaiki dokumen; pembelaan ulang setelah ≥ 4 minggu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Gagal knockout D4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Wajib mengulang modul rumpun terkait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sebelum pembelaan ulang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Gagal knockout D5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Wajib mengulang L4K.1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sebelum pembelaan ulang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Gagal dua kali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Tinjauan bersama pembimbing atas kesiapan; tidak ada batas jumlah pengulangan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Kegagalan D5 menuntut pengulangan L4K.1</w:t>
      </w:r>
      <w:r>
        <w:rPr>
          <w:lang w:val="id"/>
        </w:rPr>
        <w:t xml:space="preserve"> </w:t>
      </w:r>
      <w:r>
        <w:rPr>
          <w:lang w:val="id"/>
        </w:rPr>
        <w:t xml:space="preserve">karena pelanggaran batas kompetensi dan ketidakkonsistenan pengungkapan konflik adalah persoalan etika praktik, bukan persoalan teknis.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5" w:name="panduan-panel-penilai"/>
    <w:p>
      <w:pPr>
        <w:pStyle w:val="Heading2"/>
      </w:pPr>
      <w:r>
        <w:rPr>
          <w:lang w:val="id"/>
        </w:rPr>
        <w:t xml:space="preserve">6. Panduan Panel Penilai</w:t>
      </w:r>
    </w:p>
    <w:bookmarkStart w:id="31" w:name="komposisi"/>
    <w:p>
      <w:pPr>
        <w:pStyle w:val="Heading3"/>
      </w:pPr>
      <w:r>
        <w:rPr>
          <w:lang w:val="id"/>
        </w:rPr>
        <w:t xml:space="preserve">6.1 Komposisi</w:t>
      </w:r>
    </w:p>
    <w:p>
      <w:pPr>
        <w:pStyle w:val="FirstParagraph"/>
      </w:pPr>
      <w:r>
        <w:rPr>
          <w:b/>
          <w:bCs/>
          <w:lang w:val="id"/>
        </w:rPr>
        <w:t xml:space="preserve">Tiga penilai</w:t>
      </w:r>
      <w:r>
        <w:rPr>
          <w:lang w:val="id"/>
        </w:rPr>
        <w:t xml:space="preserve"> </w:t>
      </w:r>
      <w:r>
        <w:rPr>
          <w:lang w:val="id"/>
        </w:rPr>
        <w:t xml:space="preserve">(§2.3), sekurang-kurangnya satu di antaranya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pernah membimbing kandidat</w:t>
      </w:r>
      <w:r>
        <w:rPr>
          <w:lang w:val="id"/>
        </w:rP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Penilai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Pembimbing kandidat</w:t>
            </w:r>
            <w:r>
              <w:rPr>
                <w:lang w:val="id"/>
              </w:rPr>
              <w:t xml:space="preserve"> </w:t>
            </w:r>
            <w:r>
              <w:rPr>
                <w:i/>
                <w:iCs/>
                <w:lang w:val="id"/>
              </w:rPr>
              <w:t xml:space="preserve">(boleh)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Penilai rumpun — menguasai rumpun yang diambil kandidat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Penilai independen — tidak pernah membimbing kandidat</w:t>
            </w:r>
          </w:p>
        </w:tc>
      </w:tr>
    </w:tbl>
    <w:bookmarkEnd w:id="31"/>
    <w:bookmarkStart w:id="32" w:name="yang-dinilai-dan-yang-tidak"/>
    <w:p>
      <w:pPr>
        <w:pStyle w:val="Heading3"/>
      </w:pPr>
      <w:r>
        <w:rPr>
          <w:lang w:val="id"/>
        </w:rPr>
        <w:t xml:space="preserve">6.2 Yang dinilai dan yang tidak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Dinilai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 dinilai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Kualitas proses dan konsistensi dokumen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Imbal hasil</w:t>
            </w:r>
            <w:r>
              <w:rPr>
                <w:lang w:val="id"/>
              </w:rPr>
              <w:t xml:space="preserve"> </w:t>
            </w:r>
            <w:r>
              <w:rPr>
                <w:i/>
                <w:iCs/>
                <w:lang w:val="id"/>
              </w:rPr>
              <w:t xml:space="preserve">(§2.1)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Kalibrasi dan daya pembeda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Kecocokan pandangan dengan panel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Kemampuan menyatakan batas sendiri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Kepercayaan diri dalam penyampaian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Penalaran di bawah pertanyaan lanjutan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Kelancaran berbicara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Kolom kanan baris ketiga dan keempat layak ditekankan.</w:t>
      </w:r>
      <w:r>
        <w:rPr>
          <w:lang w:val="id"/>
        </w:rPr>
        <w:t xml:space="preserve"> </w:t>
      </w:r>
      <w:r>
        <w:rPr>
          <w:lang w:val="id"/>
        </w:rPr>
        <w:t xml:space="preserve">Kandidat yang berbicara dengan ragu tetapi menjawab dengan tepat menilai lebih tinggi daripada kandidat yang lancar tetapi tidak dapat menjawab pertanyaan 4 dan 6.</w:t>
      </w:r>
    </w:p>
    <w:bookmarkEnd w:id="32"/>
    <w:bookmarkStart w:id="33" w:name="kesalahan-panel-yang-umum"/>
    <w:p>
      <w:pPr>
        <w:pStyle w:val="Heading3"/>
      </w:pPr>
      <w:r>
        <w:rPr>
          <w:lang w:val="id"/>
        </w:rPr>
        <w:t xml:space="preserve">6.3 Kesalahan panel yang umum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Kesalahan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Koreksi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Menanyakan hasil portofolio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§4.2; angka sudah dihapus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Menghukum ketidaksetujuan pada Tahap 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Tahap 4 justru dinilai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Berunding sebelum menilai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§5.4 Langkah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Menilai kelancaran, bukan penalaran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§6.2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Menerima</w:t>
            </w:r>
            <w:r>
              <w:rPr>
                <w:lang w:val="id"/>
              </w:rPr>
              <w:t xml:space="preserve"> </w:t>
            </w:r>
            <w:r>
              <w:rPr>
                <w:i/>
                <w:iCs/>
                <w:lang w:val="id"/>
              </w:rPr>
              <w:t xml:space="preserve">“kegagalannya akan datang dari pasar”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sebagai jawaban pertanyaan 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 6 menanyakan</w:t>
            </w:r>
            <w:r>
              <w:rPr>
                <w:lang w:val="id"/>
              </w:rPr>
              <w:t xml:space="preserve"> </w:t>
            </w:r>
            <w:r>
              <w:rPr>
                <w:b/>
                <w:bCs/>
                <w:lang w:val="id"/>
              </w:rPr>
              <w:t xml:space="preserve">kesalahan kandidat sendiri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Melewati pertanyaan 7 karena kandidat tampak menguasai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Pertanyaan 7 justru paling membedakan pada kandidat kuat</w:t>
            </w:r>
          </w:p>
        </w:tc>
      </w:tr>
    </w:tbl>
    <w:bookmarkEnd w:id="33"/>
    <w:bookmarkStart w:id="34" w:name="aturan-keras-bagi-panel"/>
    <w:p>
      <w:pPr>
        <w:pStyle w:val="Heading3"/>
      </w:pPr>
      <w:r>
        <w:rPr>
          <w:lang w:val="id"/>
        </w:rPr>
        <w:t xml:space="preserve">6.4 Aturan keras bagi panel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Dilarang menanyakan atau mempertimbangkan imbal hasil</w:t>
      </w:r>
      <w:r>
        <w:rPr>
          <w:lang w:val="id"/>
        </w:rPr>
        <w:t xml:space="preserve"> </w:t>
      </w:r>
      <w:r>
        <w:rPr>
          <w:lang w:val="id"/>
        </w:rPr>
        <w:t xml:space="preserve">dalam bentuk apa pun.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Dilarang menanyakan pandangan kandidat atas instrumen tertentu</w:t>
      </w:r>
      <w:r>
        <w:rPr>
          <w:lang w:val="id"/>
        </w:rPr>
        <w:t xml:space="preserve">, termasuk sebagai pancingan.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Dilarang mengajukan pertanyaan hukum, pajak, atau perizinan</w:t>
      </w:r>
      <w:r>
        <w:rPr>
          <w:lang w:val="id"/>
        </w:rPr>
        <w:t xml:space="preserve"> </w:t>
      </w:r>
      <w:r>
        <w:rPr>
          <w:lang w:val="id"/>
        </w:rPr>
        <w:t xml:space="preserve">— dan kandidat yang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menjawabnya</w:t>
      </w:r>
      <w:r>
        <w:rPr>
          <w:lang w:val="id"/>
        </w:rPr>
        <w:t xml:space="preserve"> </w:t>
      </w:r>
      <w:r>
        <w:rPr>
          <w:lang w:val="id"/>
        </w:rPr>
        <w:t xml:space="preserve">bila tetap ditanyakan melanggar D5.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Dilarang berunding sebelum seluruh nilai terkumpul.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Dilarang menilai kandidat yang memiliki hubungan keluarga, kepentingan bisnis, atau hubungan keuangan</w:t>
      </w:r>
      <w:r>
        <w:rPr>
          <w:lang w:val="id"/>
        </w:rPr>
        <w:t xml:space="preserve"> </w:t>
      </w:r>
      <w:r>
        <w:rPr>
          <w:lang w:val="id"/>
        </w:rPr>
        <w:t xml:space="preserve">dengan penilai. Hubungan semacam itu wajib dinyatakan sebelum panel dibentuk.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Dilarang menerima imbalan dalam bentuk apa pun</w:t>
      </w:r>
      <w:r>
        <w:rPr>
          <w:lang w:val="id"/>
        </w:rPr>
        <w:t xml:space="preserve"> </w:t>
      </w:r>
      <w:r>
        <w:rPr>
          <w:lang w:val="id"/>
        </w:rPr>
        <w:t xml:space="preserve">dari kandidat, keluarganya, atau pemberi kerjanya.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Wajib memberikan alasan tertulis per dimensi</w:t>
      </w:r>
      <w:r>
        <w:rPr>
          <w:lang w:val="id"/>
        </w:rPr>
        <w:t xml:space="preserve">, termasuk pada dimensi yang bernilai tinggi.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lang w:val="id"/>
        </w:rPr>
        <w:t xml:space="preserve">Wajib menghentikan pembelaan</w:t>
      </w:r>
      <w:r>
        <w:rPr>
          <w:lang w:val="id"/>
        </w:rPr>
        <w:t xml:space="preserve"> </w:t>
      </w:r>
      <w:r>
        <w:rPr>
          <w:lang w:val="id"/>
        </w:rPr>
        <w:t xml:space="preserve">dan merujuk bila kandidat menunjukkan tekanan yang memerlukan bantuan di luar kompetensi panel.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6" w:name="jadwal"/>
    <w:p>
      <w:pPr>
        <w:pStyle w:val="Heading2"/>
      </w:pPr>
      <w:r>
        <w:rPr>
          <w:lang w:val="id"/>
        </w:rPr>
        <w:t xml:space="preserve">7. Jadwal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112"/>
        <w:gridCol w:w="1584"/>
        <w:gridCol w:w="2112"/>
        <w:gridCol w:w="2112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Minggu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Kegiatan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Terstruktur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Mandiri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Pengarahan capstone; pemilihan mandat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 JP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 jam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2–4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Dokumen 1 dan 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24 jam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Konsultasi 1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konsistensi Dokumen 1–2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 JP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 jam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6–7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Dokumen 3 dan 4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18 jam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Konsultasi 2</w:t>
            </w:r>
            <w:r>
              <w:rPr>
                <w:lang w:val="id"/>
              </w:rPr>
              <w:t xml:space="preserve"> </w:t>
            </w:r>
            <w:r>
              <w:rPr>
                <w:lang w:val="id"/>
              </w:rPr>
              <w:t xml:space="preserve">— konsistensi lintas dokumen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 JP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 jam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Dokumen 5 dan 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13 jam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Persiapan pembelaan; simulasi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 JP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11 jam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Penyerahan dokumen</w:t>
            </w:r>
            <w:r>
              <w:rPr>
                <w:lang w:val="id"/>
              </w:rPr>
              <w:t xml:space="preserve"> </w:t>
            </w:r>
            <w:r>
              <w:rPr>
                <w:i/>
                <w:iCs/>
                <w:lang w:val="id"/>
              </w:rPr>
              <w:t xml:space="preserve">(angka imbal hasil dihapus)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 jam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Pembelaan (90 menit) dan penilaian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 JP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Total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18 JP = 15 jam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  <w:lang w:val="id"/>
              </w:rPr>
              <w:t xml:space="preserve">73 jam</w:t>
            </w:r>
          </w:p>
        </w:tc>
      </w:tr>
    </w:tbl>
    <w:p>
      <w:pPr>
        <w:pStyle w:val="BodyText"/>
      </w:pPr>
      <m:oMathPara>
        <m:oMathParaPr>
          <m:jc m:val="center"/>
        </m:oMathParaPr>
        <m:oMath>
          <m:r>
            <m:t>15</m:t>
          </m:r>
          <m:r>
            <m:t> </m:t>
          </m:r>
          <m:r>
            <m:rPr>
              <m:nor/>
              <m:sty m:val="p"/>
            </m:rPr>
            <m:t>jam terstruktur</m:t>
          </m:r>
          <m:r>
            <m:rPr>
              <m:sty m:val="p"/>
            </m:rPr>
            <m:t>+</m:t>
          </m:r>
          <m:r>
            <m:t>73</m:t>
          </m:r>
          <m:r>
            <m:t> </m:t>
          </m:r>
          <m:r>
            <m:rPr>
              <m:nor/>
              <m:sty m:val="p"/>
            </m:rPr>
            <m:t>jam mandiri</m:t>
          </m:r>
          <m:r>
            <m:rPr>
              <m:sty m:val="p"/>
            </m:rPr>
            <m:t>=</m:t>
          </m:r>
          <m:r>
            <m:rPr>
              <m:sty m:val="b"/>
            </m:rPr>
            <m:t>88</m:t>
          </m:r>
          <m:r>
            <m:rPr>
              <m:sty m:val="b"/>
            </m:rPr>
            <m:t> </m:t>
          </m:r>
          <m:r>
            <m:rPr>
              <m:nor/>
              <m:sty m:val="p"/>
            </m:rPr>
            <m:t>jam</m:t>
          </m:r>
        </m:oMath>
      </m:oMathPara>
    </w:p>
    <w:p>
      <w:pPr>
        <w:pStyle w:val="FirstParagraph"/>
      </w:pPr>
      <w:r>
        <w:rPr>
          <w:i/>
          <w:iCs/>
          <w:lang w:val="id"/>
        </w:rPr>
        <w:t xml:space="preserve">(Tabel §3 menguraikan 88 jam itu menurut hasil kerja; tabel ini menguraikannya menurut waktu.)</w:t>
      </w:r>
    </w:p>
    <w:p>
      <w:pPr>
        <w:pStyle w:val="BodyText"/>
      </w:pPr>
      <w:r>
        <w:rPr>
          <w:b/>
          <w:bCs/>
          <w:lang w:val="id"/>
        </w:rPr>
        <w:t xml:space="preserve">Penyerahan pada minggu 11 bersifat final.</w:t>
      </w:r>
      <w:r>
        <w:rPr>
          <w:lang w:val="id"/>
        </w:rPr>
        <w:t xml:space="preserve"> </w:t>
      </w:r>
      <w:r>
        <w:rPr>
          <w:lang w:val="id"/>
        </w:rPr>
        <w:t xml:space="preserve">Dokumen tidak dapat diubah setelah diserahkan — termasuk untuk memperbaiki kekeliruan yang ditemukan kandidat sendiri pada minggu 12.</w:t>
      </w:r>
    </w:p>
    <w:p>
      <w:pPr>
        <w:pStyle w:val="BodyText"/>
      </w:pPr>
      <w:r>
        <w:rPr>
          <w:b/>
          <w:bCs/>
          <w:lang w:val="id"/>
        </w:rPr>
        <w:t xml:space="preserve">Kekeliruan yang ditemukan kandidat sendiri dan disampaikan pada pembelaan dinilai pada D2 tingkat 4</w:t>
      </w:r>
      <w:r>
        <w:rPr>
          <w:lang w:val="id"/>
        </w:rPr>
        <w:t xml:space="preserve">, karena menemukan kesalahan sendiri adalah bukti proses verifikasi yang bekerja.</w:t>
      </w:r>
    </w:p>
    <w:p>
      <w:r>
        <w:pict>
          <v:rect style="width:0;height:1.5pt" o:hralign="center" o:hrstd="t" o:hr="t"/>
        </w:pict>
      </w:r>
    </w:p>
    <w:bookmarkEnd w:id="36"/>
    <w:bookmarkStart w:id="37" w:name="lembar-kesiapan-kandidat"/>
    <w:p>
      <w:pPr>
        <w:pStyle w:val="Heading2"/>
      </w:pPr>
      <w:r>
        <w:rPr>
          <w:lang w:val="id"/>
        </w:rPr>
        <w:t xml:space="preserve">8. Lembar Kesiapan Kandidat</w:t>
      </w:r>
    </w:p>
    <w:p>
      <w:pPr>
        <w:pStyle w:val="FirstParagraph"/>
      </w:pPr>
      <w:r>
        <w:rPr>
          <w:lang w:val="id"/>
        </w:rPr>
        <w:t xml:space="preserve">Diisi sebelum minggu 1.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Kandidat yang menjawab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“tidak”</w:t>
      </w:r>
      <w:r>
        <w:rPr>
          <w:b/>
          <w:bCs/>
          <w:lang w:val="id"/>
        </w:rPr>
        <w:t xml:space="preserve"> </w:t>
      </w:r>
      <w:r>
        <w:rPr>
          <w:b/>
          <w:bCs/>
          <w:lang w:val="id"/>
        </w:rPr>
        <w:t xml:space="preserve">pada butir mana pun menunda capstone.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436"/>
        <w:gridCol w:w="1827"/>
        <w:gridCol w:w="1827"/>
        <w:gridCol w:w="1827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#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Butir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Tidak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Seluruh modul inti L4.1–L4.4 selesai dan lulus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Satu rumpun pilihan selesai penuh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L4K.1 selesai dan Piagam sudah ditandatangani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Templat dari setiap modul sudah terisi, bukan kosong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Saya memiliki ± 73 jam untuk 12 minggu ke depan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Saya memahami imbal hasil tidak dinilai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Saya memahami dokumen tidak dapat diubah setelah minggu 11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lang w:val="id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Saya bersedia menyatakan kelemahan karya saya sendiri di hadapan panel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☐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Butir 8 adalah inti capstone ini.</w:t>
      </w:r>
      <w:r>
        <w:rPr>
          <w:lang w:val="id"/>
        </w:rPr>
        <w:t xml:space="preserve"> </w:t>
      </w:r>
      <w:r>
        <w:rPr>
          <w:lang w:val="id"/>
        </w:rPr>
        <w:t xml:space="preserve">Kandidat yang tidak bersedia melakukannya akan gagal pada D6 terlepas dari kualitas dokumennya.</w:t>
      </w:r>
    </w:p>
    <w:p>
      <w:r>
        <w:pict>
          <v:rect style="width:0;height:1.5pt" o:hralign="center" o:hrstd="t" o:hr="t"/>
        </w:pict>
      </w:r>
    </w:p>
    <w:bookmarkEnd w:id="37"/>
    <w:bookmarkStart w:id="38" w:name="penutup-level-4"/>
    <w:p>
      <w:pPr>
        <w:pStyle w:val="Heading2"/>
      </w:pPr>
      <w:r>
        <w:rPr>
          <w:lang w:val="id"/>
        </w:rPr>
        <w:t xml:space="preserve">9. Penutup Level 4</w:t>
      </w:r>
    </w:p>
    <w:p>
      <w:pPr>
        <w:pStyle w:val="FirstParagraph"/>
      </w:pPr>
      <w:r>
        <w:rPr>
          <w:b/>
          <w:bCs/>
          <w:lang w:val="id"/>
        </w:rPr>
        <w:t xml:space="preserve">Apa yang dibuktikan kelulusan capstone ini — dan apa yang tidak.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lang w:val="id"/>
              </w:rPr>
              <w:t xml:space="preserve">Dibuktikan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  <w:lang w:val="id"/>
              </w:rPr>
              <w:t xml:space="preserve">Tidak dibuktikan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Kandidat dapat menyusun mandat yang konsisten dan dapat dipertahankan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Kandidat akan menghasilkan imbal hasil yang baik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Proses kandidat terdokumentasi dan dapat diaudit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Proses itu akan diikuti di bawah tekanan nyata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Kalibrasi kandidat terukur pada 29 klaim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Kalibrasi itu bertahan pada keputusan bernilai besar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lang w:val="id"/>
              </w:rPr>
              <w:t xml:space="preserve">Kandidat mengetahui batas kompetensinya</w:t>
            </w:r>
          </w:p>
        </w:tc>
        <w:tc>
          <w:tcPr/>
          <w:p>
            <w:pPr>
              <w:pStyle w:val="Compact"/>
            </w:pPr>
            <w:r>
              <w:rPr>
                <w:lang w:val="id"/>
              </w:rPr>
              <w:t xml:space="preserve">Kandidat akan menjaganya ketika tidak ada yang mengawasi</w:t>
            </w:r>
          </w:p>
        </w:tc>
      </w:tr>
    </w:tbl>
    <w:p>
      <w:pPr>
        <w:pStyle w:val="BodyText"/>
      </w:pPr>
      <w:r>
        <w:rPr>
          <w:b/>
          <w:bCs/>
          <w:lang w:val="id"/>
        </w:rPr>
        <w:t xml:space="preserve">Kolom kanan bukan kerendahan hati yang dibuat-buat.</w:t>
      </w:r>
      <w:r>
        <w:rPr>
          <w:lang w:val="id"/>
        </w:rPr>
        <w:t xml:space="preserve"> </w:t>
      </w:r>
      <w:r>
        <w:rPr>
          <w:lang w:val="id"/>
        </w:rPr>
        <w:t xml:space="preserve">Ia adalah kesimpulan langsung dari §2.1: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16,0 tahun</w:t>
      </w:r>
      <w:r>
        <w:rPr>
          <w:lang w:val="id"/>
        </w:rPr>
        <w:t xml:space="preserve"> </w:t>
      </w:r>
      <w:r>
        <w:rPr>
          <w:lang w:val="id"/>
        </w:rPr>
        <w:t xml:space="preserve">diperlukan untuk membedakan keterampilan dari keberuntungan, dan capstone ini berlangsung dua belas minggu.</w:t>
      </w:r>
    </w:p>
    <w:p>
      <w:pPr>
        <w:pStyle w:val="BlockText"/>
      </w:pPr>
      <w:r>
        <w:rPr>
          <w:b/>
          <w:bCs/>
          <w:lang w:val="id"/>
        </w:rPr>
        <w:t xml:space="preserve">Sertifikasi ini menyatakan bahwa kandidat telah menunjukkan proses yang dapat dipertahankan. Ia tidak menyatakan, dan tidak dapat menyatakan, bahwa kandidat akan berhasil.</w:t>
      </w:r>
    </w:p>
    <w:p>
      <w:pPr>
        <w:pStyle w:val="FirstParagraph"/>
      </w:pPr>
      <w:r>
        <w:rPr>
          <w:b/>
          <w:bCs/>
          <w:lang w:val="id"/>
        </w:rPr>
        <w:t xml:space="preserve">Setiap pemegang sertifikat wajib menyampaikan pembedaan ini kepada siapa pun yang menanyakan artinya</w:t>
      </w:r>
      <w:r>
        <w:rPr>
          <w:lang w:val="id"/>
        </w:rPr>
        <w:t xml:space="preserve"> </w:t>
      </w:r>
      <w:r>
        <w:rPr>
          <w:lang w:val="id"/>
        </w:rPr>
        <w:t xml:space="preserve">— dan kegagalan melakukannya adalah pelanggaran Piagam L4K.1 Bagian 1.3.</w:t>
      </w:r>
    </w:p>
    <w:p>
      <w:r>
        <w:pict>
          <v:rect style="width:0;height:1.5pt" o:hralign="center" o:hrstd="t" o:hr="t"/>
        </w:pict>
      </w:r>
    </w:p>
    <w:bookmarkEnd w:id="38"/>
    <w:bookmarkStart w:id="39" w:name="penafian"/>
    <w:p>
      <w:pPr>
        <w:pStyle w:val="Heading2"/>
      </w:pPr>
      <w:r>
        <w:rPr>
          <w:lang w:val="id"/>
        </w:rPr>
        <w:t xml:space="preserve">10. Penafian</w:t>
      </w:r>
    </w:p>
    <w:p>
      <w:pPr>
        <w:pStyle w:val="FirstParagraph"/>
      </w:pPr>
      <w:r>
        <w:rPr>
          <w:lang w:val="id"/>
        </w:rPr>
        <w:t xml:space="preserve">Materi ini disusun untuk tujuan pendidikan dan peningkatan literasi keuangan. Materi ini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nasihat investasi, bukan nasihat hukum, bukan sertifikasi profesi yang diakui otoritas mana pun, dan bukan ajakan untuk melakukan transaksi.</w:t>
      </w:r>
    </w:p>
    <w:p>
      <w:pPr>
        <w:pStyle w:val="BodyText"/>
      </w:pPr>
      <w:r>
        <w:rPr>
          <w:b/>
          <w:bCs/>
          <w:lang w:val="id"/>
        </w:rPr>
        <w:t xml:space="preserve">Sertifikasi yang diberikan pada akhir capstone ini adalah sertifikat penyelesaian program pendidikan internal Invesmentpedia.</w:t>
      </w:r>
      <w:r>
        <w:rPr>
          <w:lang w:val="id"/>
        </w:rPr>
        <w:t xml:space="preserve"> </w:t>
      </w:r>
      <w:r>
        <w:rPr>
          <w:lang w:val="id"/>
        </w:rPr>
        <w:t xml:space="preserve">Ia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</w:t>
      </w:r>
      <w:r>
        <w:rPr>
          <w:lang w:val="id"/>
        </w:rPr>
        <w:t xml:space="preserve"> </w:t>
      </w:r>
      <w:r>
        <w:rPr>
          <w:lang w:val="id"/>
        </w:rPr>
        <w:t xml:space="preserve">izin, bukan lisensi,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tidak memberikan kewenangan apa pun</w:t>
      </w:r>
      <w:r>
        <w:rPr>
          <w:lang w:val="id"/>
        </w:rPr>
        <w:t xml:space="preserve"> </w:t>
      </w:r>
      <w:r>
        <w:rPr>
          <w:lang w:val="id"/>
        </w:rPr>
        <w:t xml:space="preserve">untuk mengelola dana pihak lain, memberikan nasihat investasi, menyediakan layanan eksekusi, atau menjalankan kegiatan lain yang memerlukan izin dari otoritas yang berwenang.</w:t>
      </w:r>
    </w:p>
    <w:p>
      <w:pPr>
        <w:pStyle w:val="BodyText"/>
      </w:pPr>
      <w:r>
        <w:rPr>
          <w:lang w:val="id"/>
        </w:rPr>
        <w:t xml:space="preserve">Seluruh angka dalam dokumen ini — nilai</w:t>
      </w:r>
      <w:r>
        <w:rPr>
          <w:lang w:val="id"/>
        </w:rPr>
        <w:t xml:space="preserve"> </w:t>
      </w:r>
      <m:oMath>
        <m:r>
          <m:t>t</m:t>
        </m:r>
      </m:oMath>
      <w:r>
        <w:rPr>
          <w:lang w:val="id"/>
        </w:rPr>
        <w:t xml:space="preserve">, daya uji, reliabilitas penilai, daya pembeda pembelaan, peluang kekeliruan penilai, dan skor Brier — bersifat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ilustratif dan dibuat untuk keperluan perancangan asesmen.</w:t>
      </w:r>
      <w:r>
        <w:rPr>
          <w:lang w:val="id"/>
        </w:rPr>
        <w:t xml:space="preserve"> </w:t>
      </w:r>
      <w:r>
        <w:rPr>
          <w:lang w:val="id"/>
        </w:rPr>
        <w:t xml:space="preserve">Angka reliabilitas penilai dan daya pembeda pembelaan mencerminkan pola umum dalam perancangan asesmen dan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bukan hasil pengukuran</w:t>
      </w:r>
      <w:r>
        <w:rPr>
          <w:lang w:val="id"/>
        </w:rPr>
        <w:t xml:space="preserve"> </w:t>
      </w:r>
      <w:r>
        <w:rPr>
          <w:lang w:val="id"/>
        </w:rPr>
        <w:t xml:space="preserve">atas panel atau program tertentu.</w:t>
      </w:r>
    </w:p>
    <w:p>
      <w:pPr>
        <w:pStyle w:val="BodyText"/>
      </w:pPr>
      <w:r>
        <w:rPr>
          <w:b/>
          <w:bCs/>
          <w:lang w:val="id"/>
        </w:rPr>
        <w:t xml:space="preserve">Portofolio yang disusun dalam capstone bersifat simulasi.</w:t>
      </w:r>
      <w:r>
        <w:rPr>
          <w:lang w:val="id"/>
        </w:rPr>
        <w:t xml:space="preserve"> </w:t>
      </w:r>
      <w:r>
        <w:rPr>
          <w:lang w:val="id"/>
        </w:rPr>
        <w:t xml:space="preserve">Kandidat dilarang menjalankannya dengan dana nyata sebagai bagian dari tugas ini, dan fasilitator dilarang membantu melakukannya.</w:t>
      </w:r>
    </w:p>
    <w:p>
      <w:pPr>
        <w:pStyle w:val="BodyText"/>
      </w:pPr>
      <w:r>
        <w:rPr>
          <w:lang w:val="id"/>
        </w:rPr>
        <w:t xml:space="preserve">Sebagaimana dinyatakan §9,</w:t>
      </w:r>
      <w:r>
        <w:rPr>
          <w:lang w:val="id"/>
        </w:rPr>
        <w:t xml:space="preserve"> </w:t>
      </w:r>
      <w:r>
        <w:rPr>
          <w:b/>
          <w:bCs/>
          <w:lang w:val="id"/>
        </w:rPr>
        <w:t xml:space="preserve">kelulusan capstone tidak menunjukkan bahwa kandidat akan menghasilkan imbal hasil yang baik</w:t>
      </w:r>
      <w:r>
        <w:rPr>
          <w:lang w:val="id"/>
        </w:rPr>
        <w:t xml:space="preserve">, dan §2.1 mengukur mengapa pernyataan semacam itu tidak dapat dibuat oleh siapa pun dalam kerangka waktu program ini.</w:t>
      </w:r>
    </w:p>
    <w:p>
      <w:pPr>
        <w:pStyle w:val="BodyText"/>
      </w:pPr>
      <w:r>
        <w:rPr>
          <w:lang w:val="id"/>
        </w:rPr>
        <w:t xml:space="preserve">Invesmentpedia dan fasilitatornya tidak memberikan nasihat investasi yang dipersonalisasi dan tidak berizin sebagai penasihat investasi.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  <w:lang w:val="id"/>
        </w:rPr>
        <w:t xml:space="preserve">Modul L4K.2 — Capstone · Kurikulum Invesmentpedia · Level 4 Profesional</w:t>
      </w:r>
    </w:p>
    <w:bookmarkEnd w:id="39"/>
    <w:bookmarkEnd w:id="40"/>
    <w:sectPr>
      <w:footnotePr>
        <w:numRestart w:val="eachSect"/>
      </w:footnotePr>
      <w:pgMar w:bottom="1296" w:left="1440" w:right="1440" w:top="129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updateFields w:val="true"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id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40" w:line="293" w:lineRule="auto"/>
      <w:jc w:val="both"/>
    </w:pPr>
    <w:rPr>
      <w:rFonts w:ascii="Source Sans Pro" w:cs="Source Sans Pro" w:eastAsia="Source Sans Pro" w:hAnsi="Source Sans Pro"/>
      <w:color w:val="444A52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  <w:rPr>
      <w:rFonts w:ascii="Source Sans Pro" w:cs="Source Sans Pro" w:eastAsia="Source Sans Pro" w:hAnsi="Source Sans Pro"/>
      <w:color w:val="444A52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120" w:before="0" w:line="240" w:lineRule="auto"/>
      <w:contextualSpacing/>
      <w:jc w:val="center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60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  <w:spacing w:after="360" w:before="0"/>
    </w:pPr>
    <w:rPr>
      <w:rFonts w:ascii="Source Sans Pro" w:cs="Source Sans Pro" w:cstheme="majorBidi" w:eastAsia="Source Sans Pro" w:eastAsiaTheme="majorEastAsia" w:hAnsi="Source Sans Pro"/>
      <w:b/>
      <w:color w:val="1D4E8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Source Sans Pro" w:cs="Source Sans Pro" w:eastAsia="Source Sans Pro" w:hAnsi="Source Sans Pro"/>
      <w:color w:val="444A52"/>
      <w:sz w:val="22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520"/>
      <w:outlineLvl w:val="0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0F2B46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40" w:before="400"/>
      <w:outlineLvl w:val="1"/>
    </w:pPr>
    <w:rPr>
      <w:rFonts w:ascii="Source Sans Pro" w:asciiTheme="majorHAnsi" w:cs="Source Sans Pro" w:cstheme="majorBidi" w:eastAsia="Source Sans Pro" w:eastAsiaTheme="majorEastAsia" w:hAnsi="Source Sans Pro" w:hAnsiTheme="majorHAnsi"/>
      <w:b/>
      <w:color w:val="1D4E89"/>
      <w:sz w:val="30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80"/>
      <w:outlineLvl w:val="2"/>
    </w:pPr>
    <w:rPr>
      <w:rFonts w:ascii="Source Sans Pro" w:cs="Source Sans Pro" w:cstheme="majorBidi" w:eastAsia="Source Sans Pro" w:eastAsiaTheme="majorEastAsia" w:hAnsi="Source Sans Pro"/>
      <w:b/>
      <w:color w:val="0F2B46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80" w:before="240"/>
      <w:outlineLvl w:val="3"/>
    </w:pPr>
    <w:rPr>
      <w:rFonts w:ascii="Source Sans Pro" w:cs="Source Sans Pro" w:cstheme="majorBidi" w:eastAsia="Source Sans Pro" w:eastAsiaTheme="majorEastAsia" w:hAnsi="Source Sans Pro"/>
      <w:b/>
      <w:i/>
      <w:iCs/>
      <w:color w:val="1D4E89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Source Sans Pro" w:cs="Source Sans Pro" w:eastAsia="Source Sans Pro" w:hAnsi="Source Sans Pro"/>
      <w:color w:val="1D4E89"/>
      <w:sz w:val="2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Menlo" w:cs="Menlo" w:eastAsia="Menlo" w:hAnsi="Menlo"/>
      <w:color w:val="444A52"/>
      <w:sz w:val="17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L4K.2 — Capstone: Pembelaan Mandat</dc:title>
  <dc:creator>Invesmentpedia</dc:creator>
  <dc:language>id</dc:language>
  <cp:keywords/>
  <dcterms:created xsi:type="dcterms:W3CDTF">2026-09-20T09:44:09Z</dcterms:created>
  <dcterms:modified xsi:type="dcterms:W3CDTF">2026-09-20T09:44:09Z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</vt:lpwstr>
  </property>
  <property fmtid="{D5CDD505-2E9C-101B-9397-08002B2CF9AE}" pid="3" name="subtitle">
    <vt:lpwstr>Kurikulum Invesmentpedia · Level 4 Profesional · Rumpun K (Kependidikan) · Modul 2 — Capstone</vt:lpwstr>
  </property>
</Properties>
</file>