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L3.2 — Alokasi Strategis dan Taktis</w:t>
      </w:r>
    </w:p>
    <w:p>
      <w:pPr>
        <w:pStyle w:val="Subtitle"/>
      </w:pPr>
      <w:r>
        <w:rPr>
          <w:lang w:val="id"/>
        </w:rPr>
        <w:t xml:space="preserve">Kurikulum Invesmentpedia · Level 3 Pengelola Portofolio · Modul Inti 2</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4" w:name="l3.2-alokasi-strategis-dan-taktis"/>
    <w:p>
      <w:pPr>
        <w:pStyle w:val="Heading1"/>
      </w:pPr>
      <w:r>
        <w:rPr>
          <w:lang w:val="id"/>
        </w:rPr>
        <w:t xml:space="preserve">L3.2 — Alokasi Strategis dan Taktis</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L3.2</w:t>
            </w:r>
          </w:p>
        </w:tc>
      </w:tr>
      <w:tr>
        <w:tc>
          <w:tcPr/>
          <w:p>
            <w:pPr>
              <w:pStyle w:val="Compact"/>
            </w:pPr>
            <w:r>
              <w:rPr>
                <w:lang w:val="id"/>
              </w:rPr>
              <w:t xml:space="preserve">Nama</w:t>
            </w:r>
          </w:p>
        </w:tc>
        <w:tc>
          <w:tcPr/>
          <w:p>
            <w:pPr>
              <w:pStyle w:val="Compact"/>
            </w:pPr>
            <w:r>
              <w:rPr>
                <w:lang w:val="id"/>
              </w:rPr>
              <w:t xml:space="preserve">Alokasi Strategis dan Taktis</w:t>
            </w:r>
          </w:p>
        </w:tc>
      </w:tr>
      <w:tr>
        <w:tc>
          <w:tcPr/>
          <w:p>
            <w:pPr>
              <w:pStyle w:val="Compact"/>
            </w:pPr>
            <w:r>
              <w:rPr>
                <w:lang w:val="id"/>
              </w:rPr>
              <w:t xml:space="preserve">Jenjang</w:t>
            </w:r>
          </w:p>
        </w:tc>
        <w:tc>
          <w:tcPr/>
          <w:p>
            <w:pPr>
              <w:pStyle w:val="Compact"/>
            </w:pPr>
            <w:r>
              <w:rPr>
                <w:lang w:val="id"/>
              </w:rPr>
              <w:t xml:space="preserve">Level 3 — Pengelola Portofolio dan Sistem</w:t>
            </w:r>
          </w:p>
        </w:tc>
      </w:tr>
      <w:tr>
        <w:tc>
          <w:tcPr/>
          <w:p>
            <w:pPr>
              <w:pStyle w:val="Compact"/>
            </w:pPr>
            <w:r>
              <w:rPr>
                <w:lang w:val="id"/>
              </w:rPr>
              <w:t xml:space="preserve">Jalur</w:t>
            </w:r>
          </w:p>
        </w:tc>
        <w:tc>
          <w:tcPr/>
          <w:p>
            <w:pPr>
              <w:pStyle w:val="Compact"/>
            </w:pPr>
            <w:r>
              <w:rPr>
                <w:lang w:val="id"/>
              </w:rPr>
              <w:t xml:space="preserve">Inti (wajib kedua jalur)</w:t>
            </w:r>
          </w:p>
        </w:tc>
      </w:tr>
      <w:tr>
        <w:tc>
          <w:tcPr/>
          <w:p>
            <w:pPr>
              <w:pStyle w:val="Compact"/>
            </w:pPr>
            <w:r>
              <w:rPr>
                <w:lang w:val="id"/>
              </w:rPr>
              <w:t xml:space="preserve">Beban</w:t>
            </w:r>
          </w:p>
        </w:tc>
        <w:tc>
          <w:tcPr/>
          <w:p>
            <w:pPr>
              <w:pStyle w:val="Compact"/>
            </w:pPr>
            <w:r>
              <w:rPr>
                <w:lang w:val="id"/>
              </w:rPr>
              <w:t xml:space="preserve">18 JP (15 jam) — 6 JP teori, 8 JP praktik, 4 JP asesmen</w:t>
            </w:r>
          </w:p>
        </w:tc>
      </w:tr>
      <w:tr>
        <w:tc>
          <w:tcPr/>
          <w:p>
            <w:pPr>
              <w:pStyle w:val="Compact"/>
            </w:pPr>
            <w:r>
              <w:rPr>
                <w:lang w:val="id"/>
              </w:rPr>
              <w:t xml:space="preserve">Prasyarat</w:t>
            </w:r>
          </w:p>
        </w:tc>
        <w:tc>
          <w:tcPr/>
          <w:p>
            <w:pPr>
              <w:pStyle w:val="Compact"/>
            </w:pPr>
            <w:r>
              <w:rPr>
                <w:lang w:val="id"/>
              </w:rPr>
              <w:t xml:space="preserve">L3.1 Teori Portofolio Modern dan Batasnya</w:t>
            </w:r>
          </w:p>
        </w:tc>
      </w:tr>
      <w:tr>
        <w:tc>
          <w:tcPr/>
          <w:p>
            <w:pPr>
              <w:pStyle w:val="Compact"/>
            </w:pPr>
            <w:r>
              <w:rPr>
                <w:lang w:val="id"/>
              </w:rPr>
              <w:t xml:space="preserve">Pilar</w:t>
            </w:r>
          </w:p>
        </w:tc>
        <w:tc>
          <w:tcPr/>
          <w:p>
            <w:pPr>
              <w:pStyle w:val="Compact"/>
            </w:pPr>
            <w:r>
              <w:rPr>
                <w:lang w:val="id"/>
              </w:rPr>
              <w:t xml:space="preserve">P5 Risiko &amp; Portofolio (dominan), P2 Makro, P3 Kelas Aset, P6 Operasional</w:t>
            </w:r>
          </w:p>
        </w:tc>
      </w:tr>
      <w:tr>
        <w:tc>
          <w:tcPr/>
          <w:p>
            <w:pPr>
              <w:pStyle w:val="Compact"/>
            </w:pPr>
            <w:r>
              <w:rPr>
                <w:lang w:val="id"/>
              </w:rPr>
              <w:t xml:space="preserve">CPL terkait</w:t>
            </w:r>
          </w:p>
        </w:tc>
        <w:tc>
          <w:tcPr/>
          <w:p>
            <w:pPr>
              <w:pStyle w:val="Compact"/>
            </w:pPr>
            <w:r>
              <w:rPr>
                <w:lang w:val="id"/>
              </w:rPr>
              <w:t xml:space="preserve">CPL-4, CPL-5, CPL-6, CPL-8, CPL-9</w:t>
            </w:r>
          </w:p>
        </w:tc>
      </w:tr>
      <w:tr>
        <w:tc>
          <w:tcPr/>
          <w:p>
            <w:pPr>
              <w:pStyle w:val="Compact"/>
            </w:pPr>
            <w:r>
              <w:rPr>
                <w:lang w:val="id"/>
              </w:rPr>
              <w:t xml:space="preserve">Kanon</w:t>
            </w:r>
          </w:p>
        </w:tc>
        <w:tc>
          <w:tcPr/>
          <w:p>
            <w:pPr>
              <w:pStyle w:val="Compact"/>
            </w:pPr>
            <w:r>
              <w:rPr>
                <w:lang w:val="id"/>
              </w:rPr>
              <w:t xml:space="preserve">K-01, K-03, K-05, K-06, K-08, K-11</w:t>
            </w:r>
          </w:p>
        </w:tc>
      </w:tr>
    </w:tbl>
    <w:p>
      <w:pPr>
        <w:pStyle w:val="BodyText"/>
      </w:pPr>
      <w:r>
        <w:rPr>
          <w:b/>
          <w:bCs/>
          <w:lang w:val="id"/>
        </w:rPr>
        <w:t xml:space="preserve">Posisi modul.</w:t>
      </w:r>
      <w:r>
        <w:rPr>
          <w:lang w:val="id"/>
        </w:rPr>
        <w:t xml:space="preserve"> </w:t>
      </w:r>
      <w:r>
        <w:rPr>
          <w:lang w:val="id"/>
        </w:rPr>
        <w:t xml:space="preserve">L3.1 menunjukkan bahwa optimasi rata-rata-varians yang diterapkan harfiah menghasilkan portofolio lebih buruk daripada membagi rata. Modul ini menjawab pertanyaan yang ditinggalkannya:</w:t>
      </w:r>
      <w:r>
        <w:rPr>
          <w:lang w:val="id"/>
        </w:rPr>
        <w:t xml:space="preserve"> </w:t>
      </w:r>
      <w:r>
        <w:rPr>
          <w:b/>
          <w:bCs/>
          <w:lang w:val="id"/>
        </w:rPr>
        <w:t xml:space="preserve">lalu bagaimana portofolio sungguhan dibangun?</w:t>
      </w:r>
    </w:p>
    <w:p>
      <w:pPr>
        <w:pStyle w:val="BodyText"/>
      </w:pPr>
      <w:r>
        <w:rPr>
          <w:lang w:val="id"/>
        </w:rPr>
        <w:t xml:space="preserve">Jawabannya bukan satu teknik, melainkan satu prinsip yang mendasari seluruh teknik yang bertahan:</w:t>
      </w:r>
      <w:r>
        <w:rPr>
          <w:lang w:val="id"/>
        </w:rPr>
        <w:t xml:space="preserve"> </w:t>
      </w:r>
      <w:r>
        <w:rPr>
          <w:b/>
          <w:bCs/>
          <w:lang w:val="id"/>
        </w:rPr>
        <w:t xml:space="preserve">kurangi ketergantungan pada estimasi imbal hasil harapan.</w:t>
      </w:r>
      <w:r>
        <w:rPr>
          <w:lang w:val="id"/>
        </w:rPr>
        <w:t xml:space="preserve"> </w:t>
      </w:r>
      <w:r>
        <w:rPr>
          <w:lang w:val="id"/>
        </w:rPr>
        <w:t xml:space="preserve">Paritas risiko menghapus</w:t>
      </w:r>
      <w:r>
        <w:rPr>
          <w:lang w:val="id"/>
        </w:rPr>
        <w:t xml:space="preserve"> </w:t>
      </w:r>
      <m:oMath>
        <m:r>
          <m:rPr>
            <m:sty m:val="bi"/>
          </m:rPr>
          <m:t>μ</m:t>
        </m:r>
      </m:oMath>
      <w:r>
        <w:rPr>
          <w:lang w:val="id"/>
        </w:rPr>
        <w:t xml:space="preserve"> </w:t>
      </w:r>
      <w:r>
        <w:rPr>
          <w:lang w:val="id"/>
        </w:rPr>
        <w:t xml:space="preserve">sepenuhnya. Penyusutan menariknya ke arah yang kurang ekstrem. Black-Litterman membalik arah pertanyaannya. Ketiganya adalah jawaban berbeda atas satu masalah yang sama.</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CPMK-L3.2.1</w:t>
            </w:r>
          </w:p>
        </w:tc>
        <w:tc>
          <w:tcPr/>
          <w:p>
            <w:pPr>
              <w:pStyle w:val="Compact"/>
            </w:pPr>
            <w:r>
              <w:rPr>
                <w:lang w:val="id"/>
              </w:rPr>
              <w:t xml:space="preserve">Membedakan alokasi strategis dan taktis serta menjelaskan mengapa keduanya menuntut standar bukti yang berbeda</w:t>
            </w:r>
          </w:p>
        </w:tc>
        <w:tc>
          <w:tcPr/>
          <w:p>
            <w:pPr>
              <w:pStyle w:val="Compact"/>
            </w:pPr>
            <w:r>
              <w:rPr>
                <w:lang w:val="id"/>
              </w:rPr>
              <w:t xml:space="preserve">C4</w:t>
            </w:r>
          </w:p>
        </w:tc>
      </w:tr>
      <w:tr>
        <w:tc>
          <w:tcPr/>
          <w:p>
            <w:pPr>
              <w:pStyle w:val="Compact"/>
            </w:pPr>
            <w:r>
              <w:rPr>
                <w:lang w:val="id"/>
              </w:rPr>
              <w:t xml:space="preserve">CPMK-L3.2.2</w:t>
            </w:r>
          </w:p>
        </w:tc>
        <w:tc>
          <w:tcPr/>
          <w:p>
            <w:pPr>
              <w:pStyle w:val="Compact"/>
            </w:pPr>
            <w:r>
              <w:rPr>
                <w:lang w:val="id"/>
              </w:rPr>
              <w:t xml:space="preserve">Menguraikan kontribusi risiko tiap aset dalam sebuah portofolio dan menunjukkan bahwa bobot uang ≠ bobot risiko</w:t>
            </w:r>
          </w:p>
        </w:tc>
        <w:tc>
          <w:tcPr/>
          <w:p>
            <w:pPr>
              <w:pStyle w:val="Compact"/>
            </w:pPr>
            <w:r>
              <w:rPr>
                <w:lang w:val="id"/>
              </w:rPr>
              <w:t xml:space="preserve">C4</w:t>
            </w:r>
          </w:p>
        </w:tc>
      </w:tr>
      <w:tr>
        <w:tc>
          <w:tcPr/>
          <w:p>
            <w:pPr>
              <w:pStyle w:val="Compact"/>
            </w:pPr>
            <w:r>
              <w:rPr>
                <w:lang w:val="id"/>
              </w:rPr>
              <w:t xml:space="preserve">CPMK-L3.2.3</w:t>
            </w:r>
          </w:p>
        </w:tc>
        <w:tc>
          <w:tcPr/>
          <w:p>
            <w:pPr>
              <w:pStyle w:val="Compact"/>
            </w:pPr>
            <w:r>
              <w:rPr>
                <w:lang w:val="id"/>
              </w:rPr>
              <w:t xml:space="preserve">Menghitung bobot paritas risiko dan membandingkannya dengan 1/N dan alokasi konvensional</w:t>
            </w:r>
          </w:p>
        </w:tc>
        <w:tc>
          <w:tcPr/>
          <w:p>
            <w:pPr>
              <w:pStyle w:val="Compact"/>
            </w:pPr>
            <w:r>
              <w:rPr>
                <w:lang w:val="id"/>
              </w:rPr>
              <w:t xml:space="preserve">C3</w:t>
            </w:r>
          </w:p>
        </w:tc>
      </w:tr>
      <w:tr>
        <w:tc>
          <w:tcPr/>
          <w:p>
            <w:pPr>
              <w:pStyle w:val="Compact"/>
            </w:pPr>
            <w:r>
              <w:rPr>
                <w:lang w:val="id"/>
              </w:rPr>
              <w:t xml:space="preserve">CPMK-L3.2.4</w:t>
            </w:r>
          </w:p>
        </w:tc>
        <w:tc>
          <w:tcPr/>
          <w:p>
            <w:pPr>
              <w:pStyle w:val="Compact"/>
            </w:pPr>
            <w:r>
              <w:rPr>
                <w:lang w:val="id"/>
              </w:rPr>
              <w:t xml:space="preserve">Menerapkan penyusutan estimasi dan mengukur perbaikan yang dihasilkannya</w:t>
            </w:r>
          </w:p>
        </w:tc>
        <w:tc>
          <w:tcPr/>
          <w:p>
            <w:pPr>
              <w:pStyle w:val="Compact"/>
            </w:pPr>
            <w:r>
              <w:rPr>
                <w:lang w:val="id"/>
              </w:rPr>
              <w:t xml:space="preserve">C5</w:t>
            </w:r>
          </w:p>
        </w:tc>
      </w:tr>
      <w:tr>
        <w:tc>
          <w:tcPr/>
          <w:p>
            <w:pPr>
              <w:pStyle w:val="Compact"/>
            </w:pPr>
            <w:r>
              <w:rPr>
                <w:lang w:val="id"/>
              </w:rPr>
              <w:t xml:space="preserve">CPMK-L3.2.5</w:t>
            </w:r>
          </w:p>
        </w:tc>
        <w:tc>
          <w:tcPr/>
          <w:p>
            <w:pPr>
              <w:pStyle w:val="Compact"/>
            </w:pPr>
            <w:r>
              <w:rPr>
                <w:lang w:val="id"/>
              </w:rPr>
              <w:t xml:space="preserve">Melakukan optimasi balik untuk memperoleh imbal hasil ekuilibrium tersirat dan menjelaskan logika Black-Litterman</w:t>
            </w:r>
          </w:p>
        </w:tc>
        <w:tc>
          <w:tcPr/>
          <w:p>
            <w:pPr>
              <w:pStyle w:val="Compact"/>
            </w:pPr>
            <w:r>
              <w:rPr>
                <w:lang w:val="id"/>
              </w:rPr>
              <w:t xml:space="preserve">C5</w:t>
            </w:r>
          </w:p>
        </w:tc>
      </w:tr>
      <w:tr>
        <w:tc>
          <w:tcPr/>
          <w:p>
            <w:pPr>
              <w:pStyle w:val="Compact"/>
            </w:pPr>
            <w:r>
              <w:rPr>
                <w:lang w:val="id"/>
              </w:rPr>
              <w:t xml:space="preserve">CPMK-L3.2.6</w:t>
            </w:r>
          </w:p>
        </w:tc>
        <w:tc>
          <w:tcPr/>
          <w:p>
            <w:pPr>
              <w:pStyle w:val="Compact"/>
            </w:pPr>
            <w:r>
              <w:rPr>
                <w:lang w:val="id"/>
              </w:rPr>
              <w:t xml:space="preserve">Mengevaluasi kebijakan penyeimbangan ulang berdasarkan pengendalian risiko dan biaya, bukan berdasarkan klaim bonus</w:t>
            </w:r>
          </w:p>
        </w:tc>
        <w:tc>
          <w:tcPr/>
          <w:p>
            <w:pPr>
              <w:pStyle w:val="Compact"/>
            </w:pPr>
            <w:r>
              <w:rPr>
                <w:lang w:val="id"/>
              </w:rPr>
              <w:t xml:space="preserve">C5</w:t>
            </w:r>
          </w:p>
        </w:tc>
      </w:tr>
      <w:tr>
        <w:tc>
          <w:tcPr/>
          <w:p>
            <w:pPr>
              <w:pStyle w:val="Compact"/>
            </w:pPr>
            <w:r>
              <w:rPr>
                <w:lang w:val="id"/>
              </w:rPr>
              <w:t xml:space="preserve">CPMK-L3.2.7</w:t>
            </w:r>
          </w:p>
        </w:tc>
        <w:tc>
          <w:tcPr/>
          <w:p>
            <w:pPr>
              <w:pStyle w:val="Compact"/>
            </w:pPr>
            <w:r>
              <w:rPr>
                <w:lang w:val="id"/>
              </w:rPr>
              <w:t xml:space="preserve">Menguji apakah suatu kemiringan taktis menambah nilai setelah risiko dan biaya, dan menolaknya bila tidak</w:t>
            </w:r>
          </w:p>
        </w:tc>
        <w:tc>
          <w:tcPr/>
          <w:p>
            <w:pPr>
              <w:pStyle w:val="Compact"/>
            </w:pPr>
            <w:r>
              <w:rPr>
                <w:lang w:val="id"/>
              </w:rPr>
              <w:t xml:space="preserve">C5</w:t>
            </w:r>
          </w:p>
        </w:tc>
      </w:tr>
      <w:tr>
        <w:tc>
          <w:tcPr/>
          <w:p>
            <w:pPr>
              <w:pStyle w:val="Compact"/>
            </w:pPr>
            <w:r>
              <w:rPr>
                <w:lang w:val="id"/>
              </w:rPr>
              <w:t xml:space="preserve">CPMK-L3.2.8</w:t>
            </w:r>
          </w:p>
        </w:tc>
        <w:tc>
          <w:tcPr/>
          <w:p>
            <w:pPr>
              <w:pStyle w:val="Compact"/>
            </w:pPr>
            <w:r>
              <w:rPr>
                <w:lang w:val="id"/>
              </w:rPr>
              <w:t xml:space="preserve">Menyusun Kebijakan Alokasi tertulis yang dapat diaudit dan mengikat</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KEBIJAKAN ALOKASI</w:t>
      </w:r>
      <w:r>
        <w:br/>
      </w:r>
      <w:r>
        <w:rPr>
          <w:rStyle w:val="VerbatimChar"/>
          <w:lang w:val="id"/>
        </w:rPr>
        <w:t xml:space="preserve">                         │</w:t>
      </w:r>
      <w:r>
        <w:br/>
      </w:r>
      <w:r>
        <w:rPr>
          <w:rStyle w:val="VerbatimChar"/>
          <w:lang w:val="id"/>
        </w:rPr>
        <w:t xml:space="preserve">        ┌────────────────┴────────────────┐</w:t>
      </w:r>
      <w:r>
        <w:br/>
      </w:r>
      <w:r>
        <w:rPr>
          <w:rStyle w:val="VerbatimChar"/>
          <w:lang w:val="id"/>
        </w:rPr>
        <w:t xml:space="preserve">        │                                 │</w:t>
      </w:r>
      <w:r>
        <w:br/>
      </w:r>
      <w:r>
        <w:rPr>
          <w:rStyle w:val="VerbatimChar"/>
          <w:lang w:val="id"/>
        </w:rPr>
        <w:t xml:space="preserve">   STRATEGIS (SAA)                  TAKTIS (TAA)</w:t>
      </w:r>
      <w:r>
        <w:br/>
      </w:r>
      <w:r>
        <w:rPr>
          <w:rStyle w:val="VerbatimChar"/>
          <w:lang w:val="id"/>
        </w:rPr>
        <w:t xml:space="preserve">   bobot jangka panjang             penyimpangan sementara</w:t>
      </w:r>
      <w:r>
        <w:br/>
      </w:r>
      <w:r>
        <w:rPr>
          <w:rStyle w:val="VerbatimChar"/>
          <w:lang w:val="id"/>
        </w:rPr>
        <w:t xml:space="preserve">   ditinjau tahunan                 dari SAA</w:t>
      </w:r>
      <w:r>
        <w:br/>
      </w:r>
      <w:r>
        <w:rPr>
          <w:rStyle w:val="VerbatimChar"/>
          <w:lang w:val="id"/>
        </w:rPr>
        <w:t xml:space="preserve">        │                                 │</w:t>
      </w:r>
      <w:r>
        <w:br/>
      </w:r>
      <w:r>
        <w:rPr>
          <w:rStyle w:val="VerbatimChar"/>
          <w:lang w:val="id"/>
        </w:rPr>
        <w:t xml:space="preserve">        │                          standar bukti</w:t>
      </w:r>
      <w:r>
        <w:br/>
      </w:r>
      <w:r>
        <w:rPr>
          <w:rStyle w:val="VerbatimChar"/>
          <w:lang w:val="id"/>
        </w:rPr>
        <w:t xml:space="preserve">        │                          jauh lebih tinggi</w:t>
      </w:r>
      <w:r>
        <w:br/>
      </w:r>
      <w:r>
        <w:rPr>
          <w:rStyle w:val="VerbatimChar"/>
          <w:lang w:val="id"/>
        </w:rPr>
        <w:t xml:space="preserve">        │                                 │</w:t>
      </w:r>
      <w:r>
        <w:br/>
      </w:r>
      <w:r>
        <w:rPr>
          <w:rStyle w:val="VerbatimChar"/>
          <w:lang w:val="id"/>
        </w:rPr>
        <w:t xml:space="preserve">        │                          UJI: +0,033 pp CAGR</w:t>
      </w:r>
      <w:r>
        <w:br/>
      </w:r>
      <w:r>
        <w:rPr>
          <w:rStyle w:val="VerbatimChar"/>
          <w:lang w:val="id"/>
        </w:rPr>
        <w:t xml:space="preserve">        │                          t = 4,305 (signifikan!)</w:t>
      </w:r>
      <w:r>
        <w:br/>
      </w:r>
      <w:r>
        <w:rPr>
          <w:rStyle w:val="VerbatimChar"/>
          <w:lang w:val="id"/>
        </w:rPr>
        <w:t xml:space="preserve">        │                          tetapi Sharpe TURUN</w:t>
      </w:r>
      <w:r>
        <w:br/>
      </w:r>
      <w:r>
        <w:rPr>
          <w:rStyle w:val="VerbatimChar"/>
          <w:lang w:val="id"/>
        </w:rPr>
        <w:t xml:space="preserve">        │                          0,2865 → 0,2815</w:t>
      </w:r>
      <w:r>
        <w:br/>
      </w:r>
      <w:r>
        <w:rPr>
          <w:rStyle w:val="VerbatimChar"/>
          <w:lang w:val="id"/>
        </w:rPr>
        <w:t xml:space="preserve">        │                          perputaran 4,3% → 14,4%</w:t>
      </w:r>
      <w:r>
        <w:br/>
      </w:r>
      <w:r>
        <w:rPr>
          <w:rStyle w:val="VerbatimChar"/>
          <w:lang w:val="id"/>
        </w:rPr>
        <w:t xml:space="preserve">        │                                 │</w:t>
      </w:r>
      <w:r>
        <w:br/>
      </w:r>
      <w:r>
        <w:rPr>
          <w:rStyle w:val="VerbatimChar"/>
          <w:lang w:val="id"/>
        </w:rPr>
        <w:t xml:space="preserve">        │                          ► signifikan secara statistik,</w:t>
      </w:r>
      <w:r>
        <w:br/>
      </w:r>
      <w:r>
        <w:rPr>
          <w:rStyle w:val="VerbatimChar"/>
          <w:lang w:val="id"/>
        </w:rPr>
        <w:t xml:space="preserve">        │                            nol secara ekonomi</w:t>
      </w:r>
      <w:r>
        <w:br/>
      </w:r>
      <w:r>
        <w:rPr>
          <w:rStyle w:val="VerbatimChar"/>
          <w:lang w:val="id"/>
        </w:rPr>
        <w:t xml:space="preserve">        │</w:t>
      </w:r>
      <w:r>
        <w:br/>
      </w:r>
      <w:r>
        <w:rPr>
          <w:rStyle w:val="VerbatimChar"/>
          <w:lang w:val="id"/>
        </w:rPr>
        <w:t xml:space="preserve">   ┌────┴─────────────────────────────────┐</w:t>
      </w:r>
      <w:r>
        <w:br/>
      </w:r>
      <w:r>
        <w:rPr>
          <w:rStyle w:val="VerbatimChar"/>
          <w:lang w:val="id"/>
        </w:rPr>
        <w:t xml:space="preserve">   │  TIGA CARA MENGURANGI KETERGANTUNGAN │</w:t>
      </w:r>
      <w:r>
        <w:br/>
      </w:r>
      <w:r>
        <w:rPr>
          <w:rStyle w:val="VerbatimChar"/>
          <w:lang w:val="id"/>
        </w:rPr>
        <w:t xml:space="preserve">   │  PADA ESTIMASI μ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                 │</w:t>
      </w:r>
      <w:r>
        <w:br/>
      </w:r>
      <w:r>
        <w:rPr>
          <w:rStyle w:val="VerbatimChar"/>
          <w:lang w:val="id"/>
        </w:rPr>
        <w:t xml:space="preserve">1. PARITAS  2. PENYUSUTAN  3. BLACK-        4. KEKANGAN</w:t>
      </w:r>
      <w:r>
        <w:br/>
      </w:r>
      <w:r>
        <w:rPr>
          <w:rStyle w:val="VerbatimChar"/>
          <w:lang w:val="id"/>
        </w:rPr>
        <w:t xml:space="preserve">   RISIKO      ESTIMASI       LITTERMAN        (L3.1)</w:t>
      </w:r>
      <w:r>
        <w:br/>
      </w:r>
      <w:r>
        <w:rPr>
          <w:rStyle w:val="VerbatimChar"/>
          <w:lang w:val="id"/>
        </w:rPr>
        <w:t xml:space="preserve">  hapus μ     tarik ke      balik arah:      batasi</w:t>
      </w:r>
      <w:r>
        <w:br/>
      </w:r>
      <w:r>
        <w:rPr>
          <w:rStyle w:val="VerbatimChar"/>
          <w:lang w:val="id"/>
        </w:rPr>
        <w:t xml:space="preserve">  sepenuhnya  rata-rata     mulai dari       kerusakan</w:t>
      </w:r>
      <w:r>
        <w:br/>
      </w:r>
      <w:r>
        <w:rPr>
          <w:rStyle w:val="VerbatimChar"/>
          <w:lang w:val="id"/>
        </w:rPr>
        <w:t xml:space="preserve">              MSE −39%      ekuilibrium</w:t>
      </w:r>
      <w:r>
        <w:br/>
      </w:r>
      <w:r>
        <w:rPr>
          <w:rStyle w:val="VerbatimChar"/>
          <w:lang w:val="id"/>
        </w:rPr>
        <w:t xml:space="preserve">  RC sama                   pasar</w:t>
      </w:r>
      <w:r>
        <w:br/>
      </w:r>
      <w:r>
        <w:rPr>
          <w:rStyle w:val="VerbatimChar"/>
          <w:lang w:val="id"/>
        </w:rPr>
        <w:t xml:space="preserve">  masing 20%</w:t>
      </w:r>
      <w:r>
        <w:br/>
      </w:r>
      <w:r>
        <w:rPr>
          <w:rStyle w:val="VerbatimChar"/>
          <w:lang w:val="id"/>
        </w:rPr>
        <w:t xml:space="preserve">        │            │              │                 │</w:t>
      </w:r>
      <w:r>
        <w:br/>
      </w:r>
      <w:r>
        <w:rPr>
          <w:rStyle w:val="VerbatimChar"/>
          <w:lang w:val="id"/>
        </w:rPr>
        <w:t xml:space="preserve">        └────────────┴──────┬───────┴─────────────────┘</w:t>
      </w:r>
      <w:r>
        <w:br/>
      </w:r>
      <w:r>
        <w:rPr>
          <w:rStyle w:val="VerbatimChar"/>
          <w:lang w:val="id"/>
        </w:rPr>
        <w:t xml:space="preserve">                            │</w:t>
      </w:r>
      <w:r>
        <w:br/>
      </w:r>
      <w:r>
        <w:rPr>
          <w:rStyle w:val="VerbatimChar"/>
          <w:lang w:val="id"/>
        </w:rPr>
        <w:t xml:space="preserve">                  PENYEIMBANGAN ULANG</w:t>
      </w:r>
      <w:r>
        <w:br/>
      </w:r>
      <w:r>
        <w:rPr>
          <w:rStyle w:val="VerbatimChar"/>
          <w:lang w:val="id"/>
        </w:rPr>
        <w:t xml:space="preserve">              pita lebar (10%) Sharpe tertinggi</w:t>
      </w:r>
      <w:r>
        <w:br/>
      </w:r>
      <w:r>
        <w:rPr>
          <w:rStyle w:val="VerbatimChar"/>
          <w:lang w:val="id"/>
        </w:rPr>
        <w:t xml:space="preserve">              dgn perputaran &lt; separuh pita ketat</w:t>
      </w:r>
    </w:p>
    <w:p>
      <w:r>
        <w:pict>
          <v:rect style="width:0;height:1.5pt" o:hralign="center" o:hrstd="t" o:hr="t"/>
        </w:pict>
      </w:r>
    </w:p>
    <w:bookmarkEnd w:id="11"/>
    <w:bookmarkStart w:id="20" w:name="materi"/>
    <w:p>
      <w:pPr>
        <w:pStyle w:val="Heading2"/>
      </w:pPr>
      <w:r>
        <w:rPr>
          <w:lang w:val="id"/>
        </w:rPr>
        <w:t xml:space="preserve">4. Materi</w:t>
      </w:r>
    </w:p>
    <w:bookmarkStart w:id="12" w:name="X887d898b17717f96225d9d8eaf3782f3b3fbe70"/>
    <w:p>
      <w:pPr>
        <w:pStyle w:val="Heading3"/>
      </w:pPr>
      <w:r>
        <w:rPr>
          <w:lang w:val="id"/>
        </w:rPr>
        <w:t xml:space="preserve">4.1 Strategis dan taktis: dua keputusan dengan standar bukti berbeda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id"/>
              </w:rPr>
              <w:t xml:space="preserve">Alokasi Strategis (SAA)</w:t>
            </w:r>
          </w:p>
        </w:tc>
        <w:tc>
          <w:tcPr/>
          <w:p>
            <w:pPr>
              <w:pStyle w:val="Compact"/>
            </w:pPr>
            <w:r>
              <w:rPr>
                <w:lang w:val="id"/>
              </w:rPr>
              <w:t xml:space="preserve">Alokasi Taktis (TAA)</w:t>
            </w:r>
          </w:p>
        </w:tc>
      </w:tr>
      <w:tr>
        <w:tc>
          <w:tcPr/>
          <w:p>
            <w:pPr>
              <w:pStyle w:val="Compact"/>
            </w:pPr>
            <w:r>
              <w:rPr>
                <w:lang w:val="id"/>
              </w:rPr>
              <w:t xml:space="preserve">Cakrawala</w:t>
            </w:r>
          </w:p>
        </w:tc>
        <w:tc>
          <w:tcPr/>
          <w:p>
            <w:pPr>
              <w:pStyle w:val="Compact"/>
            </w:pPr>
            <w:r>
              <w:rPr>
                <w:lang w:val="id"/>
              </w:rPr>
              <w:t xml:space="preserve">5–20 tahun</w:t>
            </w:r>
          </w:p>
        </w:tc>
        <w:tc>
          <w:tcPr/>
          <w:p>
            <w:pPr>
              <w:pStyle w:val="Compact"/>
            </w:pPr>
            <w:r>
              <w:rPr>
                <w:lang w:val="id"/>
              </w:rPr>
              <w:t xml:space="preserve">1–12 bulan</w:t>
            </w:r>
          </w:p>
        </w:tc>
      </w:tr>
      <w:tr>
        <w:tc>
          <w:tcPr/>
          <w:p>
            <w:pPr>
              <w:pStyle w:val="Compact"/>
            </w:pPr>
            <w:r>
              <w:rPr>
                <w:lang w:val="id"/>
              </w:rPr>
              <w:t xml:space="preserve">Didorong oleh</w:t>
            </w:r>
          </w:p>
        </w:tc>
        <w:tc>
          <w:tcPr/>
          <w:p>
            <w:pPr>
              <w:pStyle w:val="Compact"/>
            </w:pPr>
            <w:r>
              <w:rPr>
                <w:lang w:val="id"/>
              </w:rPr>
              <w:t xml:space="preserve">Tujuan, kewajiban, toleransi risiko</w:t>
            </w:r>
          </w:p>
        </w:tc>
        <w:tc>
          <w:tcPr/>
          <w:p>
            <w:pPr>
              <w:pStyle w:val="Compact"/>
            </w:pPr>
            <w:r>
              <w:rPr>
                <w:lang w:val="id"/>
              </w:rPr>
              <w:t xml:space="preserve">Pandangan atas harga relatif saat ini</w:t>
            </w:r>
          </w:p>
        </w:tc>
      </w:tr>
      <w:tr>
        <w:tc>
          <w:tcPr/>
          <w:p>
            <w:pPr>
              <w:pStyle w:val="Compact"/>
            </w:pPr>
            <w:r>
              <w:rPr>
                <w:lang w:val="id"/>
              </w:rPr>
              <w:t xml:space="preserve">Frekuensi tinjauan</w:t>
            </w:r>
          </w:p>
        </w:tc>
        <w:tc>
          <w:tcPr/>
          <w:p>
            <w:pPr>
              <w:pStyle w:val="Compact"/>
            </w:pPr>
            <w:r>
              <w:rPr>
                <w:lang w:val="id"/>
              </w:rPr>
              <w:t xml:space="preserve">Tahunan, atau saat keadaan berubah</w:t>
            </w:r>
          </w:p>
        </w:tc>
        <w:tc>
          <w:tcPr/>
          <w:p>
            <w:pPr>
              <w:pStyle w:val="Compact"/>
            </w:pPr>
            <w:r>
              <w:rPr>
                <w:lang w:val="id"/>
              </w:rPr>
              <w:t xml:space="preserve">Bulanan sampai kuartalan</w:t>
            </w:r>
          </w:p>
        </w:tc>
      </w:tr>
      <w:tr>
        <w:tc>
          <w:tcPr/>
          <w:p>
            <w:pPr>
              <w:pStyle w:val="Compact"/>
            </w:pPr>
            <w:r>
              <w:rPr>
                <w:lang w:val="id"/>
              </w:rPr>
              <w:t xml:space="preserve">Perputaran</w:t>
            </w:r>
          </w:p>
        </w:tc>
        <w:tc>
          <w:tcPr/>
          <w:p>
            <w:pPr>
              <w:pStyle w:val="Compact"/>
            </w:pPr>
            <w:r>
              <w:rPr>
                <w:lang w:val="id"/>
              </w:rPr>
              <w:t xml:space="preserve">Sangat rendah</w:t>
            </w:r>
          </w:p>
        </w:tc>
        <w:tc>
          <w:tcPr/>
          <w:p>
            <w:pPr>
              <w:pStyle w:val="Compact"/>
            </w:pPr>
            <w:r>
              <w:rPr>
                <w:lang w:val="id"/>
              </w:rPr>
              <w:t xml:space="preserve">Sedang sampai tinggi</w:t>
            </w:r>
          </w:p>
        </w:tc>
      </w:tr>
      <w:tr>
        <w:tc>
          <w:tcPr/>
          <w:p>
            <w:pPr>
              <w:pStyle w:val="Compact"/>
            </w:pPr>
            <w:r>
              <w:rPr>
                <w:lang w:val="id"/>
              </w:rPr>
              <w:t xml:space="preserve">Sumber imbal hasil</w:t>
            </w:r>
          </w:p>
        </w:tc>
        <w:tc>
          <w:tcPr/>
          <w:p>
            <w:pPr>
              <w:pStyle w:val="Compact"/>
            </w:pPr>
            <w:r>
              <w:rPr>
                <w:lang w:val="id"/>
              </w:rPr>
              <w:t xml:space="preserve">Premi risiko jangka panjang</w:t>
            </w:r>
          </w:p>
        </w:tc>
        <w:tc>
          <w:tcPr/>
          <w:p>
            <w:pPr>
              <w:pStyle w:val="Compact"/>
            </w:pPr>
            <w:r>
              <w:rPr>
                <w:lang w:val="id"/>
              </w:rPr>
              <w:t xml:space="preserve">Ketepatan waktu — bila ada</w:t>
            </w:r>
          </w:p>
        </w:tc>
      </w:tr>
      <w:tr>
        <w:tc>
          <w:tcPr/>
          <w:p>
            <w:pPr>
              <w:pStyle w:val="Compact"/>
            </w:pPr>
            <w:r>
              <w:rPr>
                <w:b/>
                <w:bCs/>
                <w:lang w:val="id"/>
              </w:rPr>
              <w:t xml:space="preserve">Standar bukti</w:t>
            </w:r>
          </w:p>
        </w:tc>
        <w:tc>
          <w:tcPr/>
          <w:p>
            <w:pPr>
              <w:pStyle w:val="Compact"/>
            </w:pPr>
            <w:r>
              <w:rPr>
                <w:lang w:val="id"/>
              </w:rPr>
              <w:t xml:space="preserve">Sedang</w:t>
            </w:r>
          </w:p>
        </w:tc>
        <w:tc>
          <w:tcPr/>
          <w:p>
            <w:pPr>
              <w:pStyle w:val="Compact"/>
            </w:pPr>
            <w:r>
              <w:rPr>
                <w:b/>
                <w:bCs/>
                <w:lang w:val="id"/>
              </w:rPr>
              <w:t xml:space="preserve">Sangat tinggi</w:t>
            </w:r>
          </w:p>
        </w:tc>
      </w:tr>
    </w:tbl>
    <w:p>
      <w:pPr>
        <w:pStyle w:val="BodyText"/>
      </w:pPr>
      <w:r>
        <w:rPr>
          <w:lang w:val="id"/>
        </w:rPr>
        <w:t xml:space="preserve">Baris terakhir adalah yang paling sering diabaikan, dan alasannya sederhana.</w:t>
      </w:r>
    </w:p>
    <w:p>
      <w:pPr>
        <w:pStyle w:val="BodyText"/>
      </w:pPr>
      <w:r>
        <w:rPr>
          <w:lang w:val="id"/>
        </w:rPr>
        <w:t xml:space="preserve">SAA memanen premi risiko yang keberadaannya didukung teori dan bukti lintas dekade: pemilik modal ekuitas menanggung risiko residual sebuah usaha dan dikompensasi untuk itu; pemberi pinjaman menanggung risiko kredit dan durasi dan dikompensasi untuk itu. Anda tidak perlu meramal apa pun untuk memanennya. Anda hanya perlu bertahan.</w:t>
      </w:r>
    </w:p>
    <w:p>
      <w:pPr>
        <w:pStyle w:val="BodyText"/>
      </w:pPr>
      <w:r>
        <w:rPr>
          <w:lang w:val="id"/>
        </w:rPr>
        <w:t xml:space="preserve">TAA mengklaim sesuatu yang jauh lebih kuat: bahwa Anda dapat mengetahui,</w:t>
      </w:r>
      <w:r>
        <w:rPr>
          <w:lang w:val="id"/>
        </w:rPr>
        <w:t xml:space="preserve"> </w:t>
      </w:r>
      <w:r>
        <w:rPr>
          <w:b/>
          <w:bCs/>
          <w:lang w:val="id"/>
        </w:rPr>
        <w:t xml:space="preserve">sekarang</w:t>
      </w:r>
      <w:r>
        <w:rPr>
          <w:lang w:val="id"/>
        </w:rPr>
        <w:t xml:space="preserve">, aset mana yang akan mengungguli dalam beberapa bulan ke depan. Klaim itu memerlukan bukti setara dengan klaim keunggulan mana pun di Level 2 — dan §4.7 menunjukkan apa yang terjadi ketika klaim itu benar-benar diuji.</w:t>
      </w:r>
    </w:p>
    <w:p>
      <w:pPr>
        <w:pStyle w:val="BodyText"/>
      </w:pPr>
      <w:r>
        <w:rPr>
          <w:b/>
          <w:bCs/>
          <w:lang w:val="id"/>
        </w:rPr>
        <w:t xml:space="preserve">Proporsi variasi hasil yang dijelaskan SAA.</w:t>
      </w:r>
      <w:r>
        <w:rPr>
          <w:lang w:val="id"/>
        </w:rPr>
        <w:t xml:space="preserve"> </w:t>
      </w:r>
      <w:r>
        <w:rPr>
          <w:lang w:val="id"/>
        </w:rPr>
        <w:t xml:space="preserve">Literatur akademik sejak akhir 1980-an secara konsisten menemukan bahwa sebagian besar variasi imbal hasil portofolio institusional dari waktu ke waktu dijelaskan oleh kebijakan alokasi strategisnya, bukan oleh pemilihan instrumen atau penentuan waktu. Besaran persisnya diperdebatkan dan bergantung pada bagaimana pertanyaannya dirumuskan — tetapi arahnya tidak diperdebatkan.</w:t>
      </w:r>
    </w:p>
    <w:p>
      <w:pPr>
        <w:pStyle w:val="BodyText"/>
      </w:pPr>
      <w:r>
        <w:rPr>
          <w:b/>
          <w:bCs/>
          <w:lang w:val="id"/>
        </w:rPr>
        <w:t xml:space="preserve">Implikasi untuk pengelola:</w:t>
      </w:r>
      <w:r>
        <w:rPr>
          <w:lang w:val="id"/>
        </w:rPr>
        <w:t xml:space="preserve"> </w:t>
      </w:r>
      <w:r>
        <w:rPr>
          <w:lang w:val="id"/>
        </w:rPr>
        <w:t xml:space="preserve">waktu yang dihabiskan menyempurnakan SAA lebih berharga daripada waktu yang dihabiskan memperdebatkan TAA. Modul ini mengalokasikan bebannya sesuai proporsi itu.</w:t>
      </w:r>
    </w:p>
    <w:p>
      <w:r>
        <w:pict>
          <v:rect style="width:0;height:1.5pt" o:hralign="center" o:hrstd="t" o:hr="t"/>
        </w:pict>
      </w:r>
    </w:p>
    <w:bookmarkEnd w:id="12"/>
    <w:bookmarkStart w:id="13" w:name="bobot-uang-bukan-bobot-risiko"/>
    <w:p>
      <w:pPr>
        <w:pStyle w:val="Heading3"/>
      </w:pPr>
      <w:r>
        <w:rPr>
          <w:lang w:val="id"/>
        </w:rPr>
        <w:t xml:space="preserve">4.2 Bobot uang bukan bobot risiko</w:t>
      </w:r>
    </w:p>
    <w:p>
      <w:pPr>
        <w:pStyle w:val="FirstParagraph"/>
      </w:pPr>
      <w:r>
        <w:rPr>
          <w:lang w:val="id"/>
        </w:rPr>
        <w:t xml:space="preserve">Ini adalah wawasan yang mengubah cara portofolio dibaca, dan ia dapat dihitung secara tepat.</w:t>
      </w:r>
    </w:p>
    <w:p>
      <w:pPr>
        <w:pStyle w:val="BodyText"/>
      </w:pPr>
      <w:r>
        <w:rPr>
          <w:b/>
          <w:bCs/>
          <w:lang w:val="id"/>
        </w:rPr>
        <w:t xml:space="preserve">Kontribusi risiko marjinal</w:t>
      </w:r>
      <w:r>
        <w:rPr>
          <w:lang w:val="id"/>
        </w:rPr>
        <w:t xml:space="preserve"> </w:t>
      </w:r>
      <w:r>
        <w:rPr>
          <w:lang w:val="id"/>
        </w:rPr>
        <w:t xml:space="preserve">aset</w:t>
      </w:r>
      <w:r>
        <w:rPr>
          <w:lang w:val="id"/>
        </w:rPr>
        <w:t xml:space="preserve"> </w:t>
      </w:r>
      <m:oMath>
        <m:r>
          <m:t>i</m:t>
        </m:r>
      </m:oMath>
      <w:r>
        <w:rPr>
          <w:lang w:val="id"/>
        </w:rPr>
        <w:t xml:space="preserve"> </w:t>
      </w:r>
      <w:r>
        <w:rPr>
          <w:lang w:val="id"/>
        </w:rPr>
        <w:t xml:space="preserve">adalah turunan volatilitas portofolio terhadap bobotnya:</w:t>
      </w:r>
    </w:p>
    <w:p>
      <w:pPr>
        <w:pStyle w:val="BodyText"/>
      </w:pPr>
      <m:oMathPara>
        <m:oMathParaPr>
          <m:jc m:val="center"/>
        </m:oMathParaPr>
        <m:oMath>
          <m:r>
            <m:t>M</m:t>
          </m:r>
          <m:r>
            <m:t>R</m:t>
          </m:r>
          <m:sSub>
            <m:e>
              <m:r>
                <m:t>C</m:t>
              </m:r>
            </m:e>
            <m:sub>
              <m:r>
                <m:t>i</m:t>
              </m:r>
            </m:sub>
          </m:sSub>
          <m:r>
            <m:rPr>
              <m:sty m:val="p"/>
            </m:rPr>
            <m:t>=</m:t>
          </m:r>
          <m:f>
            <m:fPr>
              <m:type m:val="bar"/>
            </m:fPr>
            <m:num>
              <m:r>
                <m:rPr>
                  <m:sty m:val="p"/>
                </m:rPr>
                <m:t>∂</m:t>
              </m:r>
              <m:sSub>
                <m:e>
                  <m:r>
                    <m:t>σ</m:t>
                  </m:r>
                </m:e>
                <m:sub>
                  <m:r>
                    <m:t>p</m:t>
                  </m:r>
                </m:sub>
              </m:sSub>
            </m:num>
            <m:den>
              <m:r>
                <m:rPr>
                  <m:sty m:val="p"/>
                </m:rPr>
                <m:t>∂</m:t>
              </m:r>
              <m:sSub>
                <m:e>
                  <m:r>
                    <m:t>w</m:t>
                  </m:r>
                </m:e>
                <m:sub>
                  <m:r>
                    <m:t>i</m:t>
                  </m:r>
                </m:sub>
              </m:sSub>
            </m:den>
          </m:f>
          <m:r>
            <m:rPr>
              <m:sty m:val="p"/>
            </m:rPr>
            <m:t>=</m:t>
          </m:r>
          <m:f>
            <m:fPr>
              <m:type m:val="bar"/>
            </m:fPr>
            <m:num>
              <m:r>
                <m:rPr>
                  <m:sty m:val="p"/>
                </m:rPr>
                <m:t>(</m:t>
              </m:r>
              <m:r>
                <m:rPr>
                  <m:sty m:val="p"/>
                </m:rPr>
                <m:t>Σ</m:t>
              </m:r>
              <m:r>
                <m:rPr>
                  <m:sty m:val="bi"/>
                </m:rPr>
                <m:t>w</m:t>
              </m:r>
              <m:sSub>
                <m:e>
                  <m:r>
                    <m:rPr>
                      <m:sty m:val="p"/>
                    </m:rPr>
                    <m:t>)</m:t>
                  </m:r>
                </m:e>
                <m:sub>
                  <m:r>
                    <m:t>i</m:t>
                  </m:r>
                </m:sub>
              </m:sSub>
            </m:num>
            <m:den>
              <m:sSub>
                <m:e>
                  <m:r>
                    <m:t>σ</m:t>
                  </m:r>
                </m:e>
                <m:sub>
                  <m:r>
                    <m:t>p</m:t>
                  </m:r>
                </m:sub>
              </m:sSub>
            </m:den>
          </m:f>
        </m:oMath>
      </m:oMathPara>
    </w:p>
    <w:p>
      <w:pPr>
        <w:pStyle w:val="FirstParagraph"/>
      </w:pPr>
      <w:r>
        <w:rPr>
          <w:b/>
          <w:bCs/>
          <w:lang w:val="id"/>
        </w:rPr>
        <w:t xml:space="preserve">Kontribusi risiko total</w:t>
      </w:r>
      <w:r>
        <w:rPr>
          <w:lang w:val="id"/>
        </w:rPr>
        <w:t xml:space="preserve"> </w:t>
      </w:r>
      <w:r>
        <w:rPr>
          <w:lang w:val="id"/>
        </w:rPr>
        <w:t xml:space="preserve">aset</w:t>
      </w:r>
      <w:r>
        <w:rPr>
          <w:lang w:val="id"/>
        </w:rPr>
        <w:t xml:space="preserve"> </w:t>
      </w:r>
      <m:oMath>
        <m:r>
          <m:t>i</m:t>
        </m:r>
      </m:oMath>
      <w:r>
        <w:rPr>
          <w:lang w:val="id"/>
        </w:rPr>
        <w:t xml:space="preserve">:</w:t>
      </w:r>
    </w:p>
    <w:p>
      <w:pPr>
        <w:pStyle w:val="BodyText"/>
      </w:pPr>
      <m:oMathPara>
        <m:oMathParaPr>
          <m:jc m:val="center"/>
        </m:oMathParaPr>
        <m:oMath>
          <m:r>
            <m:t>R</m:t>
          </m:r>
          <m:sSub>
            <m:e>
              <m:r>
                <m:t>C</m:t>
              </m:r>
            </m:e>
            <m:sub>
              <m:r>
                <m:t>i</m:t>
              </m:r>
            </m:sub>
          </m:sSub>
          <m:r>
            <m:rPr>
              <m:sty m:val="p"/>
            </m:rPr>
            <m:t>=</m:t>
          </m:r>
          <m:sSub>
            <m:e>
              <m:r>
                <m:t>w</m:t>
              </m:r>
            </m:e>
            <m:sub>
              <m:r>
                <m:t>i</m:t>
              </m:r>
            </m:sub>
          </m:sSub>
          <m:r>
            <m:rPr>
              <m:sty m:val="p"/>
            </m:rPr>
            <m:t>×</m:t>
          </m:r>
          <m:r>
            <m:t>M</m:t>
          </m:r>
          <m:r>
            <m:t>R</m:t>
          </m:r>
          <m:sSub>
            <m:e>
              <m:r>
                <m:t>C</m:t>
              </m:r>
            </m:e>
            <m:sub>
              <m:r>
                <m:t>i</m:t>
              </m:r>
            </m:sub>
          </m:sSub>
          <m:r>
            <m:t>  </m:t>
          </m:r>
          <m:r>
            <m:rPr>
              <m:nor/>
              <m:sty m:val="p"/>
            </m:rPr>
            <m:t>dengan sifat</m:t>
          </m:r>
          <m:r>
            <m:t>  </m:t>
          </m:r>
          <m:nary>
            <m:naryPr>
              <m:chr m:val="∑"/>
              <m:limLoc m:val="undOvr"/>
              <m:subHide m:val="off"/>
              <m:supHide m:val="off"/>
            </m:naryPr>
            <m:sub>
              <m:r>
                <m:t>i</m:t>
              </m:r>
              <m:r>
                <m:rPr>
                  <m:sty m:val="p"/>
                </m:rPr>
                <m:t>=</m:t>
              </m:r>
              <m:r>
                <m:t>1</m:t>
              </m:r>
            </m:sub>
            <m:sup>
              <m:r>
                <m:t>n</m:t>
              </m:r>
            </m:sup>
            <m:e>
              <m:r>
                <m:t>R</m:t>
              </m:r>
            </m:e>
          </m:nary>
          <m:sSub>
            <m:e>
              <m:r>
                <m:t>C</m:t>
              </m:r>
            </m:e>
            <m:sub>
              <m:r>
                <m:t>i</m:t>
              </m:r>
            </m:sub>
          </m:sSub>
          <m:r>
            <m:rPr>
              <m:sty m:val="p"/>
            </m:rPr>
            <m:t>=</m:t>
          </m:r>
          <m:sSub>
            <m:e>
              <m:r>
                <m:t>σ</m:t>
              </m:r>
            </m:e>
            <m:sub>
              <m:r>
                <m:t>p</m:t>
              </m:r>
            </m:sub>
          </m:sSub>
        </m:oMath>
      </m:oMathPara>
    </w:p>
    <w:p>
      <w:pPr>
        <w:pStyle w:val="FirstParagraph"/>
      </w:pPr>
      <w:r>
        <w:rPr>
          <w:lang w:val="id"/>
        </w:rPr>
        <w:t xml:space="preserve">Sifat terakhir itu — bahwa kontribusi risiko menjumlah tepat ke volatilitas portofolio — adalah yang membuat dekomposisi ini berguna. Risiko dapat dibagi ke dalam sumber-sumbernya secara persis, sebagaimana imbal hasil dapat dibagi.</w:t>
      </w:r>
    </w:p>
    <w:p>
      <w:pPr>
        <w:pStyle w:val="BodyText"/>
      </w:pPr>
      <w:r>
        <w:rPr>
          <w:b/>
          <w:bCs/>
          <w:lang w:val="id"/>
        </w:rPr>
        <w:t xml:space="preserve">Terapkan pada portofolio 60/40 yang klasik</w:t>
      </w:r>
      <w:r>
        <w:rPr>
          <w:lang w:val="id"/>
        </w:rPr>
        <w:t xml:space="preserve"> </w:t>
      </w:r>
      <w:r>
        <w:rPr>
          <w:lang w:val="id"/>
        </w:rPr>
        <w:t xml:space="preserve">(45% saham negara maju, 40% obligasi pemerintah, 15% saham negara berkembang):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Aset</w:t>
            </w:r>
          </w:p>
        </w:tc>
        <w:tc>
          <w:tcPr/>
          <w:p>
            <w:pPr>
              <w:pStyle w:val="Compact"/>
              <w:jc w:val="right"/>
            </w:pPr>
            <w:r>
              <w:rPr>
                <w:lang w:val="id"/>
              </w:rPr>
              <w:t xml:space="preserve">Bobot uang</w:t>
            </w:r>
          </w:p>
        </w:tc>
        <w:tc>
          <w:tcPr/>
          <w:p>
            <w:pPr>
              <w:pStyle w:val="Compact"/>
              <w:jc w:val="right"/>
            </w:pPr>
            <w:r>
              <w:rPr>
                <w:b/>
                <w:bCs/>
                <w:lang w:val="id"/>
              </w:rPr>
              <w:t xml:space="preserve">Kontribusi risiko</w:t>
            </w:r>
          </w:p>
        </w:tc>
      </w:tr>
      <w:tr>
        <w:tc>
          <w:tcPr/>
          <w:p>
            <w:pPr>
              <w:pStyle w:val="Compact"/>
            </w:pPr>
            <w:r>
              <w:rPr>
                <w:lang w:val="id"/>
              </w:rPr>
              <w:t xml:space="preserve">Saham negara maju</w:t>
            </w:r>
          </w:p>
        </w:tc>
        <w:tc>
          <w:tcPr/>
          <w:p>
            <w:pPr>
              <w:pStyle w:val="Compact"/>
              <w:jc w:val="right"/>
            </w:pPr>
            <w:r>
              <w:rPr>
                <w:lang w:val="id"/>
              </w:rPr>
              <w:t xml:space="preserve">45%</w:t>
            </w:r>
          </w:p>
        </w:tc>
        <w:tc>
          <w:tcPr/>
          <w:p>
            <w:pPr>
              <w:pStyle w:val="Compact"/>
              <w:jc w:val="right"/>
            </w:pPr>
            <w:r>
              <w:rPr>
                <w:b/>
                <w:bCs/>
                <w:lang w:val="id"/>
              </w:rPr>
              <w:t xml:space="preserve">72,9%</w:t>
            </w:r>
          </w:p>
        </w:tc>
      </w:tr>
      <w:tr>
        <w:tc>
          <w:tcPr/>
          <w:p>
            <w:pPr>
              <w:pStyle w:val="Compact"/>
            </w:pPr>
            <w:r>
              <w:rPr>
                <w:lang w:val="id"/>
              </w:rPr>
              <w:t xml:space="preserve">Obligasi pemerintah</w:t>
            </w:r>
          </w:p>
        </w:tc>
        <w:tc>
          <w:tcPr/>
          <w:p>
            <w:pPr>
              <w:pStyle w:val="Compact"/>
              <w:jc w:val="right"/>
            </w:pPr>
            <w:r>
              <w:rPr>
                <w:lang w:val="id"/>
              </w:rPr>
              <w:t xml:space="preserve">40%</w:t>
            </w:r>
          </w:p>
        </w:tc>
        <w:tc>
          <w:tcPr/>
          <w:p>
            <w:pPr>
              <w:pStyle w:val="Compact"/>
              <w:jc w:val="right"/>
            </w:pPr>
            <w:r>
              <w:rPr>
                <w:b/>
                <w:bCs/>
                <w:lang w:val="id"/>
              </w:rPr>
              <w:t xml:space="preserve">9,1%</w:t>
            </w:r>
          </w:p>
        </w:tc>
      </w:tr>
      <w:tr>
        <w:tc>
          <w:tcPr/>
          <w:p>
            <w:pPr>
              <w:pStyle w:val="Compact"/>
            </w:pPr>
            <w:r>
              <w:rPr>
                <w:lang w:val="id"/>
              </w:rPr>
              <w:t xml:space="preserve">Saham negara berkembang</w:t>
            </w:r>
          </w:p>
        </w:tc>
        <w:tc>
          <w:tcPr/>
          <w:p>
            <w:pPr>
              <w:pStyle w:val="Compact"/>
              <w:jc w:val="right"/>
            </w:pPr>
            <w:r>
              <w:rPr>
                <w:lang w:val="id"/>
              </w:rPr>
              <w:t xml:space="preserve">15%</w:t>
            </w:r>
          </w:p>
        </w:tc>
        <w:tc>
          <w:tcPr/>
          <w:p>
            <w:pPr>
              <w:pStyle w:val="Compact"/>
              <w:jc w:val="right"/>
            </w:pPr>
            <w:r>
              <w:rPr>
                <w:b/>
                <w:bCs/>
                <w:lang w:val="id"/>
              </w:rPr>
              <w:t xml:space="preserve">17,9%</w:t>
            </w:r>
          </w:p>
        </w:tc>
      </w:tr>
    </w:tbl>
    <w:p>
      <w:pPr>
        <w:pStyle w:val="BodyText"/>
      </w:pPr>
      <w:r>
        <w:rPr>
          <w:b/>
          <w:bCs/>
          <w:lang w:val="id"/>
        </w:rPr>
        <w:t xml:space="preserve">Portofolio</w:t>
      </w:r>
      <w:r>
        <w:rPr>
          <w:b/>
          <w:bCs/>
          <w:lang w:val="id"/>
        </w:rPr>
        <w:t xml:space="preserve"> </w:t>
      </w:r>
      <w:r>
        <w:rPr>
          <w:b/>
          <w:bCs/>
          <w:lang w:val="id"/>
        </w:rPr>
        <w:t xml:space="preserve">“60/40”</w:t>
      </w:r>
      <w:r>
        <w:rPr>
          <w:b/>
          <w:bCs/>
          <w:lang w:val="id"/>
        </w:rPr>
        <w:t xml:space="preserve"> </w:t>
      </w:r>
      <w:r>
        <w:rPr>
          <w:b/>
          <w:bCs/>
          <w:lang w:val="id"/>
        </w:rPr>
        <w:t xml:space="preserve">ini adalah portofolio 91/9 dalam risiko.</w:t>
      </w:r>
      <w:r>
        <w:rPr>
          <w:lang w:val="id"/>
        </w:rPr>
        <w:t xml:space="preserve"> </w:t>
      </w:r>
      <w:r>
        <w:rPr>
          <w:lang w:val="id"/>
        </w:rPr>
        <w:t xml:space="preserve">Empat puluh persen uang yang ditempatkan pada obligasi menyumbang kurang dari sepersepuluh risiko portofolio. Investor yang mengira dirinya memegang portofolio seimbang sesungguhnya memegang portofolio saham dengan sedikit peredam.</w:t>
      </w:r>
    </w:p>
    <w:p>
      <w:pPr>
        <w:pStyle w:val="BodyText"/>
      </w:pPr>
      <w:r>
        <w:rPr>
          <w:lang w:val="id"/>
        </w:rPr>
        <w:t xml:space="preserve">Ini bukan kritik terhadap 60/40 — ia mungkin tepat bagi banyak orang. Ini adalah</w:t>
      </w:r>
      <w:r>
        <w:rPr>
          <w:lang w:val="id"/>
        </w:rPr>
        <w:t xml:space="preserve"> </w:t>
      </w:r>
      <w:r>
        <w:rPr>
          <w:b/>
          <w:bCs/>
          <w:lang w:val="id"/>
        </w:rPr>
        <w:t xml:space="preserve">koreksi atas apa yang dikira orang sedang mereka pegang.</w:t>
      </w:r>
      <w:r>
        <w:rPr>
          <w:lang w:val="id"/>
        </w:rPr>
        <w:t xml:space="preserve"> </w:t>
      </w:r>
      <w:r>
        <w:rPr>
          <w:lang w:val="id"/>
        </w:rPr>
        <w:t xml:space="preserve">Dan koreksi itu penting, karena ekspektasi yang keliru tentang isi portofolio adalah penyebab paling umum keputusan panik pada saat tertekan (K-12).</w:t>
      </w:r>
    </w:p>
    <w:p>
      <w:r>
        <w:pict>
          <v:rect style="width:0;height:1.5pt" o:hralign="center" o:hrstd="t" o:hr="t"/>
        </w:pict>
      </w:r>
    </w:p>
    <w:bookmarkEnd w:id="13"/>
    <w:bookmarkStart w:id="14" w:name="paritas-risiko-menghapus-μ-sepenuhnya"/>
    <w:p>
      <w:pPr>
        <w:pStyle w:val="Heading3"/>
      </w:pPr>
      <w:r>
        <w:rPr>
          <w:lang w:val="id"/>
        </w:rPr>
        <w:t xml:space="preserve">4.3 Paritas risiko: menghapus μ sepenuhnya</w:t>
      </w:r>
    </w:p>
    <w:p>
      <w:pPr>
        <w:pStyle w:val="FirstParagraph"/>
      </w:pPr>
      <w:r>
        <w:rPr>
          <w:lang w:val="id"/>
        </w:rPr>
        <w:t xml:space="preserve">Bila masalahnya adalah estimasi</w:t>
      </w:r>
      <w:r>
        <w:rPr>
          <w:lang w:val="id"/>
        </w:rPr>
        <w:t xml:space="preserve"> </w:t>
      </w:r>
      <m:oMath>
        <m:r>
          <m:rPr>
            <m:sty m:val="bi"/>
          </m:rPr>
          <m:t>μ</m:t>
        </m:r>
      </m:oMath>
      <w:r>
        <w:rPr>
          <w:lang w:val="id"/>
        </w:rPr>
        <w:t xml:space="preserve"> </w:t>
      </w:r>
      <w:r>
        <w:rPr>
          <w:lang w:val="id"/>
        </w:rPr>
        <w:t xml:space="preserve">(L3.1 §4.4), solusi paling radikal adalah membangun portofolio yang</w:t>
      </w:r>
      <w:r>
        <w:rPr>
          <w:lang w:val="id"/>
        </w:rPr>
        <w:t xml:space="preserve"> </w:t>
      </w:r>
      <w:r>
        <w:rPr>
          <w:b/>
          <w:bCs/>
          <w:lang w:val="id"/>
        </w:rPr>
        <w:t xml:space="preserve">tidak memerlukan</w:t>
      </w:r>
      <w:r>
        <w:rPr>
          <w:b/>
          <w:bCs/>
          <w:lang w:val="id"/>
        </w:rPr>
        <w:t xml:space="preserve"> </w:t>
      </w:r>
      <m:oMath>
        <m:r>
          <m:rPr>
            <m:sty m:val="bi"/>
          </m:rPr>
          <m:t>μ</m:t>
        </m:r>
      </m:oMath>
      <w:r>
        <w:rPr>
          <w:b/>
          <w:bCs/>
          <w:lang w:val="id"/>
        </w:rPr>
        <w:t xml:space="preserve"> </w:t>
      </w:r>
      <w:r>
        <w:rPr>
          <w:b/>
          <w:bCs/>
          <w:lang w:val="id"/>
        </w:rPr>
        <w:t xml:space="preserve">sama sekali.</w:t>
      </w:r>
    </w:p>
    <w:p>
      <w:pPr>
        <w:pStyle w:val="BodyText"/>
      </w:pPr>
      <w:r>
        <w:rPr>
          <w:b/>
          <w:bCs/>
          <w:lang w:val="id"/>
        </w:rPr>
        <w:t xml:space="preserve">Paritas risiko</w:t>
      </w:r>
      <w:r>
        <w:rPr>
          <w:lang w:val="id"/>
        </w:rPr>
        <w:t xml:space="preserve"> </w:t>
      </w:r>
      <w:r>
        <w:rPr>
          <w:lang w:val="id"/>
        </w:rPr>
        <w:t xml:space="preserve">mencari bobot yang membuat setiap aset menyumbang porsi risiko yang sama:</w:t>
      </w:r>
    </w:p>
    <w:p>
      <w:pPr>
        <w:pStyle w:val="BodyText"/>
      </w:pPr>
      <m:oMathPara>
        <m:oMathParaPr>
          <m:jc m:val="center"/>
        </m:oMathParaPr>
        <m:oMath>
          <m:r>
            <m:t>R</m:t>
          </m:r>
          <m:sSub>
            <m:e>
              <m:r>
                <m:t>C</m:t>
              </m:r>
            </m:e>
            <m:sub>
              <m:r>
                <m:t>i</m:t>
              </m:r>
            </m:sub>
          </m:sSub>
          <m:r>
            <m:rPr>
              <m:sty m:val="p"/>
            </m:rPr>
            <m:t>=</m:t>
          </m:r>
          <m:f>
            <m:fPr>
              <m:type m:val="bar"/>
            </m:fPr>
            <m:num>
              <m:sSub>
                <m:e>
                  <m:r>
                    <m:t>σ</m:t>
                  </m:r>
                </m:e>
                <m:sub>
                  <m:r>
                    <m:t>p</m:t>
                  </m:r>
                </m:sub>
              </m:sSub>
            </m:num>
            <m:den>
              <m:r>
                <m:t>n</m:t>
              </m:r>
            </m:den>
          </m:f>
          <m:r>
            <m:t> </m:t>
          </m:r>
          <m:r>
            <m:rPr>
              <m:nor/>
              <m:sty m:val="p"/>
            </m:rPr>
            <m:t>untuk seluruh </m:t>
          </m:r>
          <m:r>
            <m:t>i</m:t>
          </m:r>
        </m:oMath>
      </m:oMathPara>
    </w:p>
    <w:p>
      <w:pPr>
        <w:pStyle w:val="FirstParagraph"/>
      </w:pPr>
      <w:r>
        <w:rPr>
          <w:lang w:val="id"/>
        </w:rPr>
        <w:t xml:space="preserve">Tidak ada bentuk tertutup untuk</w:t>
      </w:r>
      <w:r>
        <w:rPr>
          <w:lang w:val="id"/>
        </w:rPr>
        <w:t xml:space="preserve"> </w:t>
      </w:r>
      <m:oMath>
        <m:r>
          <m:t>n</m:t>
        </m:r>
        <m:r>
          <m:rPr>
            <m:sty m:val="p"/>
          </m:rPr>
          <m:t>&gt;</m:t>
        </m:r>
        <m:r>
          <m:t>2</m:t>
        </m:r>
      </m:oMath>
      <w:r>
        <w:rPr>
          <w:lang w:val="id"/>
        </w:rPr>
        <w:t xml:space="preserve">; bobotnya dicari secara iteratif. Yang dibutuhkan hanyalah</w:t>
      </w:r>
      <w:r>
        <w:rPr>
          <w:lang w:val="id"/>
        </w:rPr>
        <w:t xml:space="preserve"> </w:t>
      </w:r>
      <m:oMath>
        <m:r>
          <m:rPr>
            <m:sty m:val="p"/>
          </m:rPr>
          <m:t>Σ</m:t>
        </m:r>
      </m:oMath>
      <w:r>
        <w:rPr>
          <w:lang w:val="id"/>
        </w:rPr>
        <w:t xml:space="preserve"> </w:t>
      </w:r>
      <w:r>
        <w:rPr>
          <w:lang w:val="id"/>
        </w:rPr>
        <w:t xml:space="preserve">— matriks kovarians — yang, sebagaimana ditetapkan di L3.1 §4.4.1,</w:t>
      </w:r>
      <w:r>
        <w:rPr>
          <w:lang w:val="id"/>
        </w:rPr>
        <w:t xml:space="preserve"> </w:t>
      </w:r>
      <w:r>
        <w:rPr>
          <w:b/>
          <w:bCs/>
          <w:lang w:val="id"/>
        </w:rPr>
        <w:t xml:space="preserve">jauh lebih mudah diestimasi daripada</w:t>
      </w:r>
      <w:r>
        <w:rPr>
          <w:b/>
          <w:bCs/>
          <w:lang w:val="id"/>
        </w:rPr>
        <w:t xml:space="preserve"> </w:t>
      </w:r>
      <m:oMath>
        <m:r>
          <m:rPr>
            <m:sty m:val="bi"/>
          </m:rPr>
          <m:t>μ</m:t>
        </m:r>
      </m:oMath>
      <w:r>
        <w:rPr>
          <w:lang w:val="id"/>
        </w:rPr>
        <w:t xml:space="preserve"> </w:t>
      </w:r>
      <w:r>
        <w:rPr>
          <w:lang w:val="id"/>
        </w:rPr>
        <w:t xml:space="preserve">karena dapat diperkirakan dari data frekuensi tinggi.</w:t>
      </w:r>
    </w:p>
    <w:p>
      <w:pPr>
        <w:pStyle w:val="BodyText"/>
      </w:pPr>
      <w:r>
        <w:rPr>
          <w:b/>
          <w:bCs/>
          <w:lang w:val="id"/>
        </w:rPr>
        <w:t xml:space="preserve">Bandingkan ketiga pendekatan pada lima kelas aset yang sama</w:t>
      </w:r>
      <w:r>
        <w:rPr>
          <w:lang w:val="id"/>
        </w:rPr>
        <w:t xml:space="preserve"> </w:t>
      </w:r>
      <w:r>
        <w:rPr>
          <w:lang w:val="id"/>
        </w:rPr>
        <w:t xml:space="preserve">(rincian di Contoh 1):</w:t>
      </w:r>
    </w:p>
    <w:tbl>
      <w:tblPr>
        <w:tblStyle w:val="Table"/>
        <w:tblW w:type="pct" w:w="5000"/>
        <w:tblLayout w:type="fixed"/>
        <w:tblLook w:firstRow="1" w:lastRow="0" w:firstColumn="0" w:lastColumn="0" w:noHBand="0" w:noVBand="0" w:val="0020"/>
      </w:tblPr>
      <w:tblGrid>
        <w:gridCol w:w="1033"/>
        <w:gridCol w:w="1377"/>
        <w:gridCol w:w="1377"/>
        <w:gridCol w:w="1377"/>
        <w:gridCol w:w="1377"/>
        <w:gridCol w:w="1377"/>
      </w:tblGrid>
      <w:tr>
        <w:trPr>
          <w:tblHeader w:val="on"/>
        </w:trPr>
        <w:tc>
          <w:tcPr/>
          <w:p>
            <w:pPr>
              <w:pStyle w:val="Compact"/>
            </w:pPr>
            <w:r>
              <w:rPr>
                <w:lang w:val="id"/>
              </w:rPr>
              <w:t xml:space="preserve">Aset</w:t>
            </w:r>
          </w:p>
        </w:tc>
        <w:tc>
          <w:tcPr/>
          <w:p>
            <w:pPr>
              <w:pStyle w:val="Compact"/>
              <w:jc w:val="right"/>
            </w:pPr>
            <w:r>
              <w:rPr>
                <w:lang w:val="id"/>
              </w:rPr>
              <w:t xml:space="preserve">σ</w:t>
            </w:r>
          </w:p>
        </w:tc>
        <w:tc>
          <w:tcPr/>
          <w:p>
            <w:pPr>
              <w:pStyle w:val="Compact"/>
              <w:jc w:val="right"/>
            </w:pPr>
            <w:r>
              <w:rPr>
                <w:lang w:val="id"/>
              </w:rPr>
              <w:t xml:space="preserve">1/N: bobot</w:t>
            </w:r>
          </w:p>
        </w:tc>
        <w:tc>
          <w:tcPr/>
          <w:p>
            <w:pPr>
              <w:pStyle w:val="Compact"/>
              <w:jc w:val="right"/>
            </w:pPr>
            <w:r>
              <w:rPr>
                <w:lang w:val="id"/>
              </w:rPr>
              <w:t xml:space="preserve">1/N:</w:t>
            </w:r>
            <w:r>
              <w:rPr>
                <w:lang w:val="id"/>
              </w:rPr>
              <w:t xml:space="preserve"> </w:t>
            </w:r>
            <w:r>
              <w:rPr>
                <w:b/>
                <w:bCs/>
                <w:lang w:val="id"/>
              </w:rPr>
              <w:t xml:space="preserve">RC</w:t>
            </w:r>
          </w:p>
        </w:tc>
        <w:tc>
          <w:tcPr/>
          <w:p>
            <w:pPr>
              <w:pStyle w:val="Compact"/>
              <w:jc w:val="right"/>
            </w:pPr>
            <w:r>
              <w:rPr>
                <w:lang w:val="id"/>
              </w:rPr>
              <w:t xml:space="preserve">Paritas: bobot</w:t>
            </w:r>
          </w:p>
        </w:tc>
        <w:tc>
          <w:tcPr/>
          <w:p>
            <w:pPr>
              <w:pStyle w:val="Compact"/>
              <w:jc w:val="right"/>
            </w:pPr>
            <w:r>
              <w:rPr>
                <w:lang w:val="id"/>
              </w:rPr>
              <w:t xml:space="preserve">Paritas:</w:t>
            </w:r>
            <w:r>
              <w:rPr>
                <w:lang w:val="id"/>
              </w:rPr>
              <w:t xml:space="preserve"> </w:t>
            </w:r>
            <w:r>
              <w:rPr>
                <w:b/>
                <w:bCs/>
                <w:lang w:val="id"/>
              </w:rPr>
              <w:t xml:space="preserve">RC</w:t>
            </w:r>
          </w:p>
        </w:tc>
      </w:tr>
      <w:tr>
        <w:tc>
          <w:tcPr/>
          <w:p>
            <w:pPr>
              <w:pStyle w:val="Compact"/>
            </w:pPr>
            <w:r>
              <w:rPr>
                <w:lang w:val="id"/>
              </w:rPr>
              <w:t xml:space="preserve">Saham negara maju</w:t>
            </w:r>
          </w:p>
        </w:tc>
        <w:tc>
          <w:tcPr/>
          <w:p>
            <w:pPr>
              <w:pStyle w:val="Compact"/>
              <w:jc w:val="right"/>
            </w:pPr>
            <w:r>
              <w:rPr>
                <w:lang w:val="id"/>
              </w:rPr>
              <w:t xml:space="preserve">20%</w:t>
            </w:r>
          </w:p>
        </w:tc>
        <w:tc>
          <w:tcPr/>
          <w:p>
            <w:pPr>
              <w:pStyle w:val="Compact"/>
              <w:jc w:val="right"/>
            </w:pPr>
            <w:r>
              <w:rPr>
                <w:lang w:val="id"/>
              </w:rPr>
              <w:t xml:space="preserve">20%</w:t>
            </w:r>
          </w:p>
        </w:tc>
        <w:tc>
          <w:tcPr/>
          <w:p>
            <w:pPr>
              <w:pStyle w:val="Compact"/>
              <w:jc w:val="right"/>
            </w:pPr>
            <w:r>
              <w:rPr>
                <w:b/>
                <w:bCs/>
                <w:lang w:val="id"/>
              </w:rPr>
              <w:t xml:space="preserve">35,2%</w:t>
            </w:r>
          </w:p>
        </w:tc>
        <w:tc>
          <w:tcPr/>
          <w:p>
            <w:pPr>
              <w:pStyle w:val="Compact"/>
              <w:jc w:val="right"/>
            </w:pPr>
            <w:r>
              <w:rPr>
                <w:lang w:val="id"/>
              </w:rPr>
              <w:t xml:space="preserve">10,97%</w:t>
            </w:r>
          </w:p>
        </w:tc>
        <w:tc>
          <w:tcPr/>
          <w:p>
            <w:pPr>
              <w:pStyle w:val="Compact"/>
              <w:jc w:val="right"/>
            </w:pPr>
            <w:r>
              <w:rPr>
                <w:lang w:val="id"/>
              </w:rPr>
              <w:t xml:space="preserve">20,00%</w:t>
            </w:r>
          </w:p>
        </w:tc>
      </w:tr>
      <w:tr>
        <w:tc>
          <w:tcPr/>
          <w:p>
            <w:pPr>
              <w:pStyle w:val="Compact"/>
            </w:pPr>
            <w:r>
              <w:rPr>
                <w:lang w:val="id"/>
              </w:rPr>
              <w:t xml:space="preserve">Obligasi pemerintah</w:t>
            </w:r>
          </w:p>
        </w:tc>
        <w:tc>
          <w:tcPr/>
          <w:p>
            <w:pPr>
              <w:pStyle w:val="Compact"/>
              <w:jc w:val="right"/>
            </w:pPr>
            <w:r>
              <w:rPr>
                <w:lang w:val="id"/>
              </w:rPr>
              <w:t xml:space="preserve">8%</w:t>
            </w:r>
          </w:p>
        </w:tc>
        <w:tc>
          <w:tcPr/>
          <w:p>
            <w:pPr>
              <w:pStyle w:val="Compact"/>
              <w:jc w:val="right"/>
            </w:pPr>
            <w:r>
              <w:rPr>
                <w:lang w:val="id"/>
              </w:rPr>
              <w:t xml:space="preserve">20%</w:t>
            </w:r>
          </w:p>
        </w:tc>
        <w:tc>
          <w:tcPr/>
          <w:p>
            <w:pPr>
              <w:pStyle w:val="Compact"/>
              <w:jc w:val="right"/>
            </w:pPr>
            <w:r>
              <w:rPr>
                <w:b/>
                <w:bCs/>
                <w:lang w:val="id"/>
              </w:rPr>
              <w:t xml:space="preserve">5,8%</w:t>
            </w:r>
          </w:p>
        </w:tc>
        <w:tc>
          <w:tcPr/>
          <w:p>
            <w:pPr>
              <w:pStyle w:val="Compact"/>
              <w:jc w:val="right"/>
            </w:pPr>
            <w:r>
              <w:rPr>
                <w:lang w:val="id"/>
              </w:rPr>
              <w:t xml:space="preserve">34,24%</w:t>
            </w:r>
          </w:p>
        </w:tc>
        <w:tc>
          <w:tcPr/>
          <w:p>
            <w:pPr>
              <w:pStyle w:val="Compact"/>
              <w:jc w:val="right"/>
            </w:pPr>
            <w:r>
              <w:rPr>
                <w:lang w:val="id"/>
              </w:rPr>
              <w:t xml:space="preserve">20,00%</w:t>
            </w:r>
          </w:p>
        </w:tc>
      </w:tr>
      <w:tr>
        <w:tc>
          <w:tcPr/>
          <w:p>
            <w:pPr>
              <w:pStyle w:val="Compact"/>
            </w:pPr>
            <w:r>
              <w:rPr>
                <w:lang w:val="id"/>
              </w:rPr>
              <w:t xml:space="preserve">Saham negara berkembang</w:t>
            </w:r>
          </w:p>
        </w:tc>
        <w:tc>
          <w:tcPr/>
          <w:p>
            <w:pPr>
              <w:pStyle w:val="Compact"/>
              <w:jc w:val="right"/>
            </w:pPr>
            <w:r>
              <w:rPr>
                <w:lang w:val="id"/>
              </w:rPr>
              <w:t xml:space="preserve">17%</w:t>
            </w:r>
          </w:p>
        </w:tc>
        <w:tc>
          <w:tcPr/>
          <w:p>
            <w:pPr>
              <w:pStyle w:val="Compact"/>
              <w:jc w:val="right"/>
            </w:pPr>
            <w:r>
              <w:rPr>
                <w:lang w:val="id"/>
              </w:rPr>
              <w:t xml:space="preserve">20%</w:t>
            </w:r>
          </w:p>
        </w:tc>
        <w:tc>
          <w:tcPr/>
          <w:p>
            <w:pPr>
              <w:pStyle w:val="Compact"/>
              <w:jc w:val="right"/>
            </w:pPr>
            <w:r>
              <w:rPr>
                <w:lang w:val="id"/>
              </w:rPr>
              <w:t xml:space="preserve">28,8%</w:t>
            </w:r>
          </w:p>
        </w:tc>
        <w:tc>
          <w:tcPr/>
          <w:p>
            <w:pPr>
              <w:pStyle w:val="Compact"/>
              <w:jc w:val="right"/>
            </w:pPr>
            <w:r>
              <w:rPr>
                <w:lang w:val="id"/>
              </w:rPr>
              <w:t xml:space="preserve">13,15%</w:t>
            </w:r>
          </w:p>
        </w:tc>
        <w:tc>
          <w:tcPr/>
          <w:p>
            <w:pPr>
              <w:pStyle w:val="Compact"/>
              <w:jc w:val="right"/>
            </w:pPr>
            <w:r>
              <w:rPr>
                <w:lang w:val="id"/>
              </w:rPr>
              <w:t xml:space="preserve">20,00%</w:t>
            </w:r>
          </w:p>
        </w:tc>
      </w:tr>
      <w:tr>
        <w:tc>
          <w:tcPr/>
          <w:p>
            <w:pPr>
              <w:pStyle w:val="Compact"/>
            </w:pPr>
            <w:r>
              <w:rPr>
                <w:lang w:val="id"/>
              </w:rPr>
              <w:t xml:space="preserve">Properti/REIT</w:t>
            </w:r>
          </w:p>
        </w:tc>
        <w:tc>
          <w:tcPr/>
          <w:p>
            <w:pPr>
              <w:pStyle w:val="Compact"/>
              <w:jc w:val="right"/>
            </w:pPr>
            <w:r>
              <w:rPr>
                <w:lang w:val="id"/>
              </w:rPr>
              <w:t xml:space="preserve">14%</w:t>
            </w:r>
          </w:p>
        </w:tc>
        <w:tc>
          <w:tcPr/>
          <w:p>
            <w:pPr>
              <w:pStyle w:val="Compact"/>
              <w:jc w:val="right"/>
            </w:pPr>
            <w:r>
              <w:rPr>
                <w:lang w:val="id"/>
              </w:rPr>
              <w:t xml:space="preserve">20%</w:t>
            </w:r>
          </w:p>
        </w:tc>
        <w:tc>
          <w:tcPr/>
          <w:p>
            <w:pPr>
              <w:pStyle w:val="Compact"/>
              <w:jc w:val="right"/>
            </w:pPr>
            <w:r>
              <w:rPr>
                <w:lang w:val="id"/>
              </w:rPr>
              <w:t xml:space="preserve">22,2%</w:t>
            </w:r>
          </w:p>
        </w:tc>
        <w:tc>
          <w:tcPr/>
          <w:p>
            <w:pPr>
              <w:pStyle w:val="Compact"/>
              <w:jc w:val="right"/>
            </w:pPr>
            <w:r>
              <w:rPr>
                <w:lang w:val="id"/>
              </w:rPr>
              <w:t xml:space="preserve">15,43%</w:t>
            </w:r>
          </w:p>
        </w:tc>
        <w:tc>
          <w:tcPr/>
          <w:p>
            <w:pPr>
              <w:pStyle w:val="Compact"/>
              <w:jc w:val="right"/>
            </w:pPr>
            <w:r>
              <w:rPr>
                <w:lang w:val="id"/>
              </w:rPr>
              <w:t xml:space="preserve">20,00%</w:t>
            </w:r>
          </w:p>
        </w:tc>
      </w:tr>
      <w:tr>
        <w:tc>
          <w:tcPr/>
          <w:p>
            <w:pPr>
              <w:pStyle w:val="Compact"/>
            </w:pPr>
            <w:r>
              <w:rPr>
                <w:lang w:val="id"/>
              </w:rPr>
              <w:t xml:space="preserve">Kas+</w:t>
            </w:r>
          </w:p>
        </w:tc>
        <w:tc>
          <w:tcPr/>
          <w:p>
            <w:pPr>
              <w:pStyle w:val="Compact"/>
              <w:jc w:val="right"/>
            </w:pPr>
            <w:r>
              <w:rPr>
                <w:lang w:val="id"/>
              </w:rPr>
              <w:t xml:space="preserve">11%</w:t>
            </w:r>
          </w:p>
        </w:tc>
        <w:tc>
          <w:tcPr/>
          <w:p>
            <w:pPr>
              <w:pStyle w:val="Compact"/>
              <w:jc w:val="right"/>
            </w:pPr>
            <w:r>
              <w:rPr>
                <w:lang w:val="id"/>
              </w:rPr>
              <w:t xml:space="preserve">20%</w:t>
            </w:r>
          </w:p>
        </w:tc>
        <w:tc>
          <w:tcPr/>
          <w:p>
            <w:pPr>
              <w:pStyle w:val="Compact"/>
              <w:jc w:val="right"/>
            </w:pPr>
            <w:r>
              <w:rPr>
                <w:lang w:val="id"/>
              </w:rPr>
              <w:t xml:space="preserve">8,0%</w:t>
            </w:r>
          </w:p>
        </w:tc>
        <w:tc>
          <w:tcPr/>
          <w:p>
            <w:pPr>
              <w:pStyle w:val="Compact"/>
              <w:jc w:val="right"/>
            </w:pPr>
            <w:r>
              <w:rPr>
                <w:lang w:val="id"/>
              </w:rPr>
              <w:t xml:space="preserve">26,22%</w:t>
            </w:r>
          </w:p>
        </w:tc>
        <w:tc>
          <w:tcPr/>
          <w:p>
            <w:pPr>
              <w:pStyle w:val="Compact"/>
              <w:jc w:val="right"/>
            </w:pPr>
            <w:r>
              <w:rPr>
                <w:lang w:val="id"/>
              </w:rPr>
              <w:t xml:space="preserve">20,00%</w:t>
            </w:r>
          </w:p>
        </w:tc>
      </w:tr>
      <w:tr>
        <w:tc>
          <w:tcPr/>
          <w:p>
            <w:pPr>
              <w:pStyle w:val="Compact"/>
            </w:pPr>
            <w:r>
              <w:rPr>
                <w:b/>
                <w:bCs/>
                <w:lang w:val="id"/>
              </w:rPr>
              <w:t xml:space="preserve">Volatilitas portofolio</w:t>
            </w:r>
          </w:p>
        </w:tc>
        <w:tc>
          <w:tcPr/>
          <w:p>
            <w:pPr>
              <w:pStyle w:val="Compact"/>
            </w:pPr>
          </w:p>
        </w:tc>
        <w:tc>
          <w:tcPr/>
          <w:p>
            <w:pPr>
              <w:pStyle w:val="Compact"/>
            </w:pPr>
          </w:p>
        </w:tc>
        <w:tc>
          <w:tcPr/>
          <w:p>
            <w:pPr>
              <w:pStyle w:val="Compact"/>
              <w:jc w:val="right"/>
            </w:pPr>
            <w:r>
              <w:rPr>
                <w:b/>
                <w:bCs/>
                <w:lang w:val="id"/>
              </w:rPr>
              <w:t xml:space="preserve">9,85%</w:t>
            </w:r>
          </w:p>
        </w:tc>
        <w:tc>
          <w:tcPr/>
          <w:p>
            <w:pPr>
              <w:pStyle w:val="Compact"/>
            </w:pPr>
          </w:p>
        </w:tc>
        <w:tc>
          <w:tcPr/>
          <w:p>
            <w:pPr>
              <w:pStyle w:val="Compact"/>
              <w:jc w:val="right"/>
            </w:pPr>
            <w:r>
              <w:rPr>
                <w:b/>
                <w:bCs/>
                <w:lang w:val="id"/>
              </w:rPr>
              <w:t xml:space="preserve">7,83%</w:t>
            </w:r>
          </w:p>
        </w:tc>
      </w:tr>
    </w:tbl>
    <w:p>
      <w:pPr>
        <w:pStyle w:val="BodyText"/>
      </w:pPr>
      <w:r>
        <w:rPr>
          <w:b/>
          <w:bCs/>
          <w:lang w:val="id"/>
        </w:rPr>
        <w:t xml:space="preserve">Tiga bacaan.</w:t>
      </w:r>
    </w:p>
    <w:p>
      <w:pPr>
        <w:pStyle w:val="BodyText"/>
      </w:pPr>
      <w:r>
        <w:rPr>
          <w:b/>
          <w:bCs/>
          <w:lang w:val="id"/>
        </w:rPr>
        <w:t xml:space="preserve">Pertama: 1/N tidak seimbang.</w:t>
      </w:r>
      <w:r>
        <w:rPr>
          <w:lang w:val="id"/>
        </w:rPr>
        <w:t xml:space="preserve"> </w:t>
      </w:r>
      <w:r>
        <w:rPr>
          <w:lang w:val="id"/>
        </w:rPr>
        <w:t xml:space="preserve">Membagi uang rata menghasilkan kontribusi risiko dari 5,8% sampai 35,2% — rentang enam kali lipat. Ini adalah cacat 1/N yang dinyatakan di L3.1 §4.5, kini terukur.</w:t>
      </w:r>
    </w:p>
    <w:p>
      <w:pPr>
        <w:pStyle w:val="BodyText"/>
      </w:pPr>
      <w:r>
        <w:rPr>
          <w:b/>
          <w:bCs/>
          <w:lang w:val="id"/>
        </w:rPr>
        <w:t xml:space="preserve">Kedua: paritas risiko menurunkan volatilitas 2,02 pp</w:t>
      </w:r>
      <w:r>
        <w:rPr>
          <w:lang w:val="id"/>
        </w:rPr>
        <w:t xml:space="preserve"> </w:t>
      </w:r>
      <w:r>
        <w:rPr>
          <w:lang w:val="id"/>
        </w:rPr>
        <w:t xml:space="preserve">(dari 9,85% ke 7,83%) tanpa mengestimasi satu pun imbal hasil harapan.</w:t>
      </w:r>
    </w:p>
    <w:p>
      <w:pPr>
        <w:pStyle w:val="BodyText"/>
      </w:pPr>
      <w:r>
        <w:rPr>
          <w:b/>
          <w:bCs/>
          <w:lang w:val="id"/>
        </w:rPr>
        <w:t xml:space="preserve">Ketiga, dan yang harus dinyatakan jujur: paritas risiko memiliki biayanya sendiri.</w:t>
      </w:r>
      <w:r>
        <w:rPr>
          <w:lang w:val="id"/>
        </w:rPr>
        <w:t xml:space="preserve"> </w:t>
      </w:r>
      <w:r>
        <w:rPr>
          <w:lang w:val="id"/>
        </w:rPr>
        <w:t xml:space="preserve">Ia memberi bobot besar pada aset volatilitas rendah — 34,24% pada obligasi dan 26,22% pada kas+, total</w:t>
      </w:r>
      <w:r>
        <w:rPr>
          <w:lang w:val="id"/>
        </w:rPr>
        <w:t xml:space="preserve"> </w:t>
      </w:r>
      <w:r>
        <w:rPr>
          <w:b/>
          <w:bCs/>
          <w:lang w:val="id"/>
        </w:rPr>
        <w:t xml:space="preserve">60,46%</w:t>
      </w:r>
      <w:r>
        <w:rPr>
          <w:lang w:val="id"/>
        </w:rPr>
        <w:t xml:space="preserve"> </w:t>
      </w:r>
      <w:r>
        <w:rPr>
          <w:lang w:val="id"/>
        </w:rPr>
        <w:t xml:space="preserve">pada dua aset yang imbal hasil harapannya paling rendah. Konsekuensinya:</w:t>
      </w:r>
    </w:p>
    <w:p>
      <w:pPr>
        <w:pStyle w:val="Compact"/>
        <w:numPr>
          <w:ilvl w:val="0"/>
          <w:numId w:val="1001"/>
        </w:numPr>
      </w:pPr>
      <w:r>
        <w:rPr>
          <w:b/>
          <w:bCs/>
          <w:lang w:val="id"/>
        </w:rPr>
        <w:t xml:space="preserve">Imbal hasil harapan portofolio lebih rendah.</w:t>
      </w:r>
      <w:r>
        <w:rPr>
          <w:lang w:val="id"/>
        </w:rPr>
        <w:t xml:space="preserve"> </w:t>
      </w:r>
      <w:r>
        <w:rPr>
          <w:lang w:val="id"/>
        </w:rPr>
        <w:t xml:space="preserve">Paritas risiko menyeimbangkan risiko, bukan memaksimalkan imbal hasil.</w:t>
      </w:r>
    </w:p>
    <w:p>
      <w:pPr>
        <w:pStyle w:val="Compact"/>
        <w:numPr>
          <w:ilvl w:val="0"/>
          <w:numId w:val="1001"/>
        </w:numPr>
      </w:pPr>
      <w:r>
        <w:rPr>
          <w:b/>
          <w:bCs/>
          <w:lang w:val="id"/>
        </w:rPr>
        <w:t xml:space="preserve">Praktik institusional mengatasinya dengan ungkitan</w:t>
      </w:r>
      <w:r>
        <w:rPr>
          <w:lang w:val="id"/>
        </w:rPr>
        <w:t xml:space="preserve"> </w:t>
      </w:r>
      <w:r>
        <w:rPr>
          <w:lang w:val="id"/>
        </w:rPr>
        <w:t xml:space="preserve">— menaikkan seluruh portofolio ke tingkat risiko yang diinginkan. Ini memperkenalkan risiko pendanaan, risiko margin call, dan ketergantungan pada biaya pinjam yang tidak ada dalam versi tanpa ungkitan.</w:t>
      </w:r>
      <w:r>
        <w:rPr>
          <w:lang w:val="id"/>
        </w:rPr>
        <w:t xml:space="preserve"> </w:t>
      </w:r>
      <w:r>
        <w:rPr>
          <w:b/>
          <w:bCs/>
          <w:lang w:val="id"/>
        </w:rPr>
        <w:t xml:space="preserve">Bagi investor ritel, jalur ini umumnya tidak layak dan tidak dianjurkan</w:t>
      </w:r>
      <w:r>
        <w:rPr>
          <w:lang w:val="id"/>
        </w:rPr>
        <w:t xml:space="preserve"> </w:t>
      </w:r>
      <w:r>
        <w:rPr>
          <w:lang w:val="id"/>
        </w:rPr>
        <w:t xml:space="preserve">(bahasan penuh di L3T.3).</w:t>
      </w:r>
    </w:p>
    <w:p>
      <w:pPr>
        <w:pStyle w:val="Compact"/>
        <w:numPr>
          <w:ilvl w:val="0"/>
          <w:numId w:val="1001"/>
        </w:numPr>
      </w:pPr>
      <w:r>
        <w:rPr>
          <w:b/>
          <w:bCs/>
          <w:lang w:val="id"/>
        </w:rPr>
        <w:t xml:space="preserve">Ia mengasumsikan kovarians stabil.</w:t>
      </w:r>
      <w:r>
        <w:rPr>
          <w:lang w:val="id"/>
        </w:rPr>
        <w:t xml:space="preserve"> </w:t>
      </w:r>
      <w:r>
        <w:rPr>
          <w:lang w:val="id"/>
        </w:rPr>
        <w:t xml:space="preserve">L3.1 §4.6 sudah menunjukkan bahwa asumsi itu paling salah justru pada saat tertekan.</w:t>
      </w:r>
    </w:p>
    <w:p>
      <w:pPr>
        <w:pStyle w:val="FirstParagraph"/>
      </w:pPr>
      <w:r>
        <w:rPr>
          <w:b/>
          <w:bCs/>
          <w:lang w:val="id"/>
        </w:rPr>
        <w:t xml:space="preserve">Kesimpulan yang seimbang:</w:t>
      </w:r>
      <w:r>
        <w:rPr>
          <w:lang w:val="id"/>
        </w:rPr>
        <w:t xml:space="preserve"> </w:t>
      </w:r>
      <w:r>
        <w:rPr>
          <w:lang w:val="id"/>
        </w:rPr>
        <w:t xml:space="preserve">paritas risiko adalah perbaikan nyata atas 1/N sebagai cara berpikir tentang alokasi, dan lebih jujur daripada optimasi penuh karena tidak berpura-pura mengetahui</w:t>
      </w:r>
      <w:r>
        <w:rPr>
          <w:lang w:val="id"/>
        </w:rPr>
        <w:t xml:space="preserve"> </w:t>
      </w:r>
      <m:oMath>
        <m:r>
          <m:rPr>
            <m:sty m:val="bi"/>
          </m:rPr>
          <m:t>μ</m:t>
        </m:r>
      </m:oMath>
      <w:r>
        <w:rPr>
          <w:lang w:val="id"/>
        </w:rPr>
        <w:t xml:space="preserve">. Ia bukan jawaban akhir.</w:t>
      </w:r>
    </w:p>
    <w:p>
      <w:r>
        <w:pict>
          <v:rect style="width:0;height:1.5pt" o:hralign="center" o:hrstd="t" o:hr="t"/>
        </w:pict>
      </w:r>
    </w:p>
    <w:bookmarkEnd w:id="14"/>
    <w:bookmarkStart w:id="15" w:name="penyusutan-estimasi"/>
    <w:p>
      <w:pPr>
        <w:pStyle w:val="Heading3"/>
      </w:pPr>
      <w:r>
        <w:rPr>
          <w:lang w:val="id"/>
        </w:rPr>
        <w:t xml:space="preserve">4.4 Penyusutan estimasi</w:t>
      </w:r>
    </w:p>
    <w:p>
      <w:pPr>
        <w:pStyle w:val="FirstParagraph"/>
      </w:pPr>
      <w:r>
        <w:rPr>
          <w:lang w:val="id"/>
        </w:rPr>
        <w:t xml:space="preserve">Pendekatan kedua tidak menghapus</w:t>
      </w:r>
      <w:r>
        <w:rPr>
          <w:lang w:val="id"/>
        </w:rPr>
        <w:t xml:space="preserve"> </w:t>
      </w:r>
      <m:oMath>
        <m:r>
          <m:rPr>
            <m:sty m:val="bi"/>
          </m:rPr>
          <m:t>μ</m:t>
        </m:r>
      </m:oMath>
      <w:r>
        <w:rPr>
          <w:lang w:val="id"/>
        </w:rPr>
        <w:t xml:space="preserve">, melainkan</w:t>
      </w:r>
      <w:r>
        <w:rPr>
          <w:lang w:val="id"/>
        </w:rPr>
        <w:t xml:space="preserve"> </w:t>
      </w:r>
      <w:r>
        <w:rPr>
          <w:b/>
          <w:bCs/>
          <w:lang w:val="id"/>
        </w:rPr>
        <w:t xml:space="preserve">menariknya ke arah yang kurang ekstrem.</w:t>
      </w:r>
    </w:p>
    <w:p>
      <w:pPr>
        <w:pStyle w:val="BodyText"/>
      </w:pPr>
      <w:r>
        <w:rPr>
          <w:lang w:val="id"/>
        </w:rPr>
        <w:t xml:space="preserve">Gagasan intinya berasal dari statistik: ketika Anda mengestimasi banyak besaran sekaligus dari sampel yang bising, estimasi gabungan yang ditarik ke arah rata-rata bersama</w:t>
      </w:r>
      <w:r>
        <w:rPr>
          <w:lang w:val="id"/>
        </w:rPr>
        <w:t xml:space="preserve"> </w:t>
      </w:r>
      <w:r>
        <w:rPr>
          <w:b/>
          <w:bCs/>
          <w:lang w:val="id"/>
        </w:rPr>
        <w:t xml:space="preserve">lebih akurat</w:t>
      </w:r>
      <w:r>
        <w:rPr>
          <w:lang w:val="id"/>
        </w:rPr>
        <w:t xml:space="preserve"> </w:t>
      </w:r>
      <w:r>
        <w:rPr>
          <w:lang w:val="id"/>
        </w:rPr>
        <w:t xml:space="preserve">daripada estimasi individual — bahkan untuk besaran yang benar-benar berbeda. Hasil ini berlawanan dengan intuisi dan telah mapan sejak 1960-an.</w:t>
      </w:r>
    </w:p>
    <w:p>
      <w:pPr>
        <w:pStyle w:val="BodyText"/>
      </w:pPr>
      <w:r>
        <w:rPr>
          <w:lang w:val="id"/>
        </w:rPr>
        <w:t xml:space="preserve">Bentuk sederhananya:</w:t>
      </w:r>
    </w:p>
    <w:p>
      <w:pPr>
        <w:pStyle w:val="BodyText"/>
      </w:pPr>
      <m:oMathPara>
        <m:oMathParaPr>
          <m:jc m:val="center"/>
        </m:oMathParaPr>
        <m:oMath>
          <m:sSubSup>
            <m:e>
              <m:acc>
                <m:accPr>
                  <m:chr m:val="̂"/>
                </m:accPr>
                <m:e>
                  <m:r>
                    <m:t>μ</m:t>
                  </m:r>
                </m:e>
              </m:acc>
            </m:e>
            <m:sub>
              <m:r>
                <m:t>i</m:t>
              </m:r>
            </m:sub>
            <m:sup>
              <m:r>
                <m:rPr>
                  <m:nor/>
                  <m:sty m:val="p"/>
                </m:rPr>
                <m:t>susut</m:t>
              </m:r>
            </m:sup>
          </m:sSubSup>
          <m:r>
            <m:rPr>
              <m:sty m:val="p"/>
            </m:rPr>
            <m:t>=</m:t>
          </m:r>
          <m:r>
            <m:rPr>
              <m:sty m:val="p"/>
            </m:rPr>
            <m:t>(</m:t>
          </m:r>
          <m:r>
            <m:t>1</m:t>
          </m:r>
          <m:r>
            <m:rPr>
              <m:sty m:val="p"/>
            </m:rPr>
            <m:t>−</m:t>
          </m:r>
          <m:r>
            <m:t>δ</m:t>
          </m:r>
          <m:r>
            <m:rPr>
              <m:sty m:val="p"/>
            </m:rPr>
            <m:t>)</m:t>
          </m:r>
          <m:sSub>
            <m:e>
              <m:acc>
                <m:accPr>
                  <m:chr m:val="̂"/>
                </m:accPr>
                <m:e>
                  <m:r>
                    <m:t>μ</m:t>
                  </m:r>
                </m:e>
              </m:acc>
            </m:e>
            <m:sub>
              <m:r>
                <m:t>i</m:t>
              </m:r>
            </m:sub>
          </m:sSub>
          <m:r>
            <m:rPr>
              <m:sty m:val="p"/>
            </m:rPr>
            <m:t>+</m:t>
          </m:r>
          <m:r>
            <m:t>δ</m:t>
          </m:r>
          <m:acc>
            <m:accPr>
              <m:chr m:val="‾"/>
            </m:accPr>
            <m:e>
              <m:r>
                <m:t>μ</m:t>
              </m:r>
            </m:e>
          </m:acc>
        </m:oMath>
      </m:oMathPara>
    </w:p>
    <w:p>
      <w:pPr>
        <w:pStyle w:val="FirstParagraph"/>
      </w:pPr>
      <w:r>
        <w:rPr>
          <w:lang w:val="id"/>
        </w:rPr>
        <w:t xml:space="preserve">dengan</w:t>
      </w:r>
      <w:r>
        <w:rPr>
          <w:lang w:val="id"/>
        </w:rPr>
        <w:t xml:space="preserve"> </w:t>
      </w:r>
      <m:oMath>
        <m:r>
          <m:t>δ</m:t>
        </m:r>
        <m:r>
          <m:rPr>
            <m:sty m:val="p"/>
          </m:rPr>
          <m:t>∈</m:t>
        </m:r>
        <m:r>
          <m:rPr>
            <m:sty m:val="p"/>
          </m:rPr>
          <m:t>[</m:t>
        </m:r>
        <m:r>
          <m:t>0</m:t>
        </m:r>
        <m:r>
          <m:rPr>
            <m:sty m:val="p"/>
          </m:rPr>
          <m:t>,</m:t>
        </m:r>
        <m:r>
          <m:t>1</m:t>
        </m:r>
        <m:r>
          <m:rPr>
            <m:sty m:val="p"/>
          </m:rPr>
          <m:t>]</m:t>
        </m:r>
      </m:oMath>
      <w:r>
        <w:rPr>
          <w:lang w:val="id"/>
        </w:rPr>
        <w:t xml:space="preserve"> </w:t>
      </w:r>
      <w:r>
        <w:rPr>
          <w:lang w:val="id"/>
        </w:rPr>
        <w:t xml:space="preserve">intensitas penyusutan dan</w:t>
      </w:r>
      <w:r>
        <w:rPr>
          <w:lang w:val="id"/>
        </w:rPr>
        <w:t xml:space="preserve"> </w:t>
      </w:r>
      <m:oMath>
        <m:acc>
          <m:accPr>
            <m:chr m:val="‾"/>
          </m:accPr>
          <m:e>
            <m:r>
              <m:t>μ</m:t>
            </m:r>
          </m:e>
        </m:acc>
      </m:oMath>
      <w:r>
        <w:rPr>
          <w:lang w:val="id"/>
        </w:rPr>
        <w:t xml:space="preserve"> </w:t>
      </w:r>
      <w:r>
        <w:rPr>
          <w:lang w:val="id"/>
        </w:rPr>
        <w:t xml:space="preserve">rata-rata lintas aset.</w:t>
      </w:r>
    </w:p>
    <w:p>
      <w:pPr>
        <w:pStyle w:val="BodyText"/>
      </w:pPr>
      <w:r>
        <w:rPr>
          <w:b/>
          <w:bCs/>
          <w:lang w:val="id"/>
        </w:rPr>
        <w:t xml:space="preserve">Seberapa besar perbaikannya?</w:t>
      </w:r>
      <w:r>
        <w:rPr>
          <w:lang w:val="id"/>
        </w:rPr>
        <w:t xml:space="preserve"> </w:t>
      </w:r>
      <w:r>
        <w:rPr>
          <w:lang w:val="id"/>
        </w:rPr>
        <w:t xml:space="preserve">Simulasi dengan lima aset, 10 tahun data, 8.000 percobaan, mengukur galat kuadrat rata-rata (MSE) estimasi terhadap nilai sejati:</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Intensitas</w:t>
            </w:r>
            <w:r>
              <w:rPr>
                <w:lang w:val="id"/>
              </w:rPr>
              <w:t xml:space="preserve"> </w:t>
            </w:r>
            <m:oMath>
              <m:r>
                <m:t>δ</m:t>
              </m:r>
            </m:oMath>
          </w:p>
        </w:tc>
        <w:tc>
          <w:tcPr/>
          <w:p>
            <w:pPr>
              <w:pStyle w:val="Compact"/>
              <w:jc w:val="right"/>
            </w:pPr>
            <w:r>
              <w:rPr>
                <w:lang w:val="id"/>
              </w:rPr>
              <w:t xml:space="preserve">MSE</w:t>
            </w:r>
          </w:p>
        </w:tc>
        <w:tc>
          <w:tcPr/>
          <w:p>
            <w:pPr>
              <w:pStyle w:val="Compact"/>
              <w:jc w:val="right"/>
            </w:pPr>
            <w:r>
              <w:rPr>
                <w:lang w:val="id"/>
              </w:rPr>
              <w:t xml:space="preserve">RMSE</w:t>
            </w:r>
          </w:p>
        </w:tc>
        <w:tc>
          <w:tcPr/>
          <w:p>
            <w:pPr>
              <w:pStyle w:val="Compact"/>
              <w:jc w:val="right"/>
            </w:pPr>
            <w:r>
              <w:rPr>
                <w:lang w:val="id"/>
              </w:rPr>
              <w:t xml:space="preserve">Perubahan</w:t>
            </w:r>
          </w:p>
        </w:tc>
      </w:tr>
      <w:tr>
        <w:tc>
          <w:tcPr/>
          <w:p>
            <w:pPr>
              <w:pStyle w:val="Compact"/>
              <w:jc w:val="right"/>
            </w:pPr>
            <w:r>
              <w:rPr>
                <w:lang w:val="id"/>
              </w:rPr>
              <w:t xml:space="preserve">0,0 (tanpa penyusutan)</w:t>
            </w:r>
          </w:p>
        </w:tc>
        <w:tc>
          <w:tcPr/>
          <w:p>
            <w:pPr>
              <w:pStyle w:val="Compact"/>
              <w:jc w:val="right"/>
            </w:pPr>
            <w:r>
              <w:rPr>
                <w:lang w:val="id"/>
              </w:rPr>
              <w:t xml:space="preserve">0,002152</w:t>
            </w:r>
          </w:p>
        </w:tc>
        <w:tc>
          <w:tcPr/>
          <w:p>
            <w:pPr>
              <w:pStyle w:val="Compact"/>
              <w:jc w:val="right"/>
            </w:pPr>
            <w:r>
              <w:rPr>
                <w:lang w:val="id"/>
              </w:rPr>
              <w:t xml:space="preserve">4,64 pp</w:t>
            </w:r>
          </w:p>
        </w:tc>
        <w:tc>
          <w:tcPr/>
          <w:p>
            <w:pPr>
              <w:pStyle w:val="Compact"/>
              <w:jc w:val="right"/>
            </w:pPr>
            <w:r>
              <w:rPr>
                <w:lang w:val="id"/>
              </w:rPr>
              <w:t xml:space="preserve">—</w:t>
            </w:r>
          </w:p>
        </w:tc>
      </w:tr>
      <w:tr>
        <w:tc>
          <w:tcPr/>
          <w:p>
            <w:pPr>
              <w:pStyle w:val="Compact"/>
              <w:jc w:val="right"/>
            </w:pPr>
            <w:r>
              <w:rPr>
                <w:lang w:val="id"/>
              </w:rPr>
              <w:t xml:space="preserve">0,2</w:t>
            </w:r>
          </w:p>
        </w:tc>
        <w:tc>
          <w:tcPr/>
          <w:p>
            <w:pPr>
              <w:pStyle w:val="Compact"/>
              <w:jc w:val="right"/>
            </w:pPr>
            <w:r>
              <w:rPr>
                <w:lang w:val="id"/>
              </w:rPr>
              <w:t xml:space="preserve">0,001715</w:t>
            </w:r>
          </w:p>
        </w:tc>
        <w:tc>
          <w:tcPr/>
          <w:p>
            <w:pPr>
              <w:pStyle w:val="Compact"/>
              <w:jc w:val="right"/>
            </w:pPr>
            <w:r>
              <w:rPr>
                <w:lang w:val="id"/>
              </w:rPr>
              <w:t xml:space="preserve">4,14 pp</w:t>
            </w:r>
          </w:p>
        </w:tc>
        <w:tc>
          <w:tcPr/>
          <w:p>
            <w:pPr>
              <w:pStyle w:val="Compact"/>
              <w:jc w:val="right"/>
            </w:pPr>
            <w:r>
              <w:rPr>
                <w:lang w:val="id"/>
              </w:rPr>
              <w:t xml:space="preserve">−20,3%</w:t>
            </w:r>
          </w:p>
        </w:tc>
      </w:tr>
      <w:tr>
        <w:tc>
          <w:tcPr/>
          <w:p>
            <w:pPr>
              <w:pStyle w:val="Compact"/>
              <w:jc w:val="right"/>
            </w:pPr>
            <w:r>
              <w:rPr>
                <w:lang w:val="id"/>
              </w:rPr>
              <w:t xml:space="preserve">0,4</w:t>
            </w:r>
          </w:p>
        </w:tc>
        <w:tc>
          <w:tcPr/>
          <w:p>
            <w:pPr>
              <w:pStyle w:val="Compact"/>
              <w:jc w:val="right"/>
            </w:pPr>
            <w:r>
              <w:rPr>
                <w:lang w:val="id"/>
              </w:rPr>
              <w:t xml:space="preserve">0,001446</w:t>
            </w:r>
          </w:p>
        </w:tc>
        <w:tc>
          <w:tcPr/>
          <w:p>
            <w:pPr>
              <w:pStyle w:val="Compact"/>
              <w:jc w:val="right"/>
            </w:pPr>
            <w:r>
              <w:rPr>
                <w:lang w:val="id"/>
              </w:rPr>
              <w:t xml:space="preserve">3,80 pp</w:t>
            </w:r>
          </w:p>
        </w:tc>
        <w:tc>
          <w:tcPr/>
          <w:p>
            <w:pPr>
              <w:pStyle w:val="Compact"/>
              <w:jc w:val="right"/>
            </w:pPr>
            <w:r>
              <w:rPr>
                <w:lang w:val="id"/>
              </w:rPr>
              <w:t xml:space="preserve">−32,8%</w:t>
            </w:r>
          </w:p>
        </w:tc>
      </w:tr>
      <w:tr>
        <w:tc>
          <w:tcPr/>
          <w:p>
            <w:pPr>
              <w:pStyle w:val="Compact"/>
              <w:jc w:val="right"/>
            </w:pPr>
            <w:r>
              <w:rPr>
                <w:lang w:val="id"/>
              </w:rPr>
              <w:t xml:space="preserve">0,6</w:t>
            </w:r>
          </w:p>
        </w:tc>
        <w:tc>
          <w:tcPr/>
          <w:p>
            <w:pPr>
              <w:pStyle w:val="Compact"/>
              <w:jc w:val="right"/>
            </w:pPr>
            <w:r>
              <w:rPr>
                <w:lang w:val="id"/>
              </w:rPr>
              <w:t xml:space="preserve">0,001320</w:t>
            </w:r>
          </w:p>
        </w:tc>
        <w:tc>
          <w:tcPr/>
          <w:p>
            <w:pPr>
              <w:pStyle w:val="Compact"/>
              <w:jc w:val="right"/>
            </w:pPr>
            <w:r>
              <w:rPr>
                <w:lang w:val="id"/>
              </w:rPr>
              <w:t xml:space="preserve">3,63 pp</w:t>
            </w:r>
          </w:p>
        </w:tc>
        <w:tc>
          <w:tcPr/>
          <w:p>
            <w:pPr>
              <w:pStyle w:val="Compact"/>
              <w:jc w:val="right"/>
            </w:pPr>
            <w:r>
              <w:rPr>
                <w:lang w:val="id"/>
              </w:rPr>
              <w:t xml:space="preserve">−38,7%</w:t>
            </w:r>
          </w:p>
        </w:tc>
      </w:tr>
      <w:tr>
        <w:tc>
          <w:tcPr/>
          <w:p>
            <w:pPr>
              <w:pStyle w:val="Compact"/>
              <w:jc w:val="right"/>
            </w:pPr>
            <w:r>
              <w:rPr>
                <w:b/>
                <w:bCs/>
                <w:lang w:val="id"/>
              </w:rPr>
              <w:t xml:space="preserve">0,8</w:t>
            </w:r>
          </w:p>
        </w:tc>
        <w:tc>
          <w:tcPr/>
          <w:p>
            <w:pPr>
              <w:pStyle w:val="Compact"/>
              <w:jc w:val="right"/>
            </w:pPr>
            <w:r>
              <w:rPr>
                <w:b/>
                <w:bCs/>
                <w:lang w:val="id"/>
              </w:rPr>
              <w:t xml:space="preserve">0,001313</w:t>
            </w:r>
          </w:p>
        </w:tc>
        <w:tc>
          <w:tcPr/>
          <w:p>
            <w:pPr>
              <w:pStyle w:val="Compact"/>
              <w:jc w:val="right"/>
            </w:pPr>
            <w:r>
              <w:rPr>
                <w:b/>
                <w:bCs/>
                <w:lang w:val="id"/>
              </w:rPr>
              <w:t xml:space="preserve">3,62 pp</w:t>
            </w:r>
          </w:p>
        </w:tc>
        <w:tc>
          <w:tcPr/>
          <w:p>
            <w:pPr>
              <w:pStyle w:val="Compact"/>
              <w:jc w:val="right"/>
            </w:pPr>
            <w:r>
              <w:rPr>
                <w:b/>
                <w:bCs/>
                <w:lang w:val="id"/>
              </w:rPr>
              <w:t xml:space="preserve">−39,0%</w:t>
            </w:r>
          </w:p>
        </w:tc>
      </w:tr>
      <w:tr>
        <w:tc>
          <w:tcPr/>
          <w:p>
            <w:pPr>
              <w:pStyle w:val="Compact"/>
              <w:jc w:val="right"/>
            </w:pPr>
            <w:r>
              <w:rPr>
                <w:lang w:val="id"/>
              </w:rPr>
              <w:t xml:space="preserve">1,0 (abaikan data sepenuhnya)</w:t>
            </w:r>
          </w:p>
        </w:tc>
        <w:tc>
          <w:tcPr/>
          <w:p>
            <w:pPr>
              <w:pStyle w:val="Compact"/>
              <w:jc w:val="right"/>
            </w:pPr>
            <w:r>
              <w:rPr>
                <w:lang w:val="id"/>
              </w:rPr>
              <w:t xml:space="preserve">0,001475</w:t>
            </w:r>
          </w:p>
        </w:tc>
        <w:tc>
          <w:tcPr/>
          <w:p>
            <w:pPr>
              <w:pStyle w:val="Compact"/>
              <w:jc w:val="right"/>
            </w:pPr>
            <w:r>
              <w:rPr>
                <w:lang w:val="id"/>
              </w:rPr>
              <w:t xml:space="preserve">3,84 pp</w:t>
            </w:r>
          </w:p>
        </w:tc>
        <w:tc>
          <w:tcPr/>
          <w:p>
            <w:pPr>
              <w:pStyle w:val="Compact"/>
              <w:jc w:val="right"/>
            </w:pPr>
            <w:r>
              <w:rPr>
                <w:lang w:val="id"/>
              </w:rPr>
              <w:t xml:space="preserve">−31,5%</w:t>
            </w:r>
          </w:p>
        </w:tc>
      </w:tr>
    </w:tbl>
    <w:p>
      <w:pPr>
        <w:pStyle w:val="BodyText"/>
      </w:pPr>
      <w:r>
        <w:rPr>
          <w:b/>
          <w:bCs/>
          <w:lang w:val="id"/>
        </w:rPr>
        <w:t xml:space="preserve">Dua temuan.</w:t>
      </w:r>
    </w:p>
    <w:p>
      <w:pPr>
        <w:pStyle w:val="BodyText"/>
      </w:pPr>
      <w:r>
        <w:rPr>
          <w:b/>
          <w:bCs/>
          <w:lang w:val="id"/>
        </w:rPr>
        <w:t xml:space="preserve">Pertama: intensitas optimal sangat tinggi — sekitar 0,7–0,8.</w:t>
      </w:r>
      <w:r>
        <w:rPr>
          <w:lang w:val="id"/>
        </w:rPr>
        <w:t xml:space="preserve"> </w:t>
      </w:r>
      <w:r>
        <w:rPr>
          <w:lang w:val="id"/>
        </w:rPr>
        <w:t xml:space="preserve">Artinya estimasi terbaik memberi bobot hanya</w:t>
      </w:r>
      <w:r>
        <w:rPr>
          <w:lang w:val="id"/>
        </w:rPr>
        <w:t xml:space="preserve"> </w:t>
      </w:r>
      <w:r>
        <w:rPr>
          <w:b/>
          <w:bCs/>
          <w:lang w:val="id"/>
        </w:rPr>
        <w:t xml:space="preserve">20–30%</w:t>
      </w:r>
      <w:r>
        <w:rPr>
          <w:lang w:val="id"/>
        </w:rPr>
        <w:t xml:space="preserve"> </w:t>
      </w:r>
      <w:r>
        <w:rPr>
          <w:lang w:val="id"/>
        </w:rPr>
        <w:t xml:space="preserve">pada data historis aset itu sendiri, dan 70–80% pada rata-rata lintas aset.</w:t>
      </w:r>
    </w:p>
    <w:p>
      <w:pPr>
        <w:pStyle w:val="BodyText"/>
      </w:pPr>
      <w:r>
        <w:rPr>
          <w:b/>
          <w:bCs/>
          <w:lang w:val="id"/>
        </w:rPr>
        <w:t xml:space="preserve">Kedua, dan lebih mengejutkan:</w:t>
      </w:r>
      <w:r>
        <w:rPr>
          <w:b/>
          <w:bCs/>
          <w:lang w:val="id"/>
        </w:rPr>
        <w:t xml:space="preserve"> </w:t>
      </w:r>
      <m:oMath>
        <m:r>
          <m:t>δ</m:t>
        </m:r>
        <m:r>
          <m:rPr>
            <m:sty m:val="p"/>
          </m:rPr>
          <m:t>=</m:t>
        </m:r>
        <m:r>
          <m:t>1</m:t>
        </m:r>
        <m:r>
          <m:rPr>
            <m:sty m:val="p"/>
          </m:rPr>
          <m:t>,</m:t>
        </m:r>
        <m:r>
          <m:t>0</m:t>
        </m:r>
      </m:oMath>
      <w:r>
        <w:rPr>
          <w:b/>
          <w:bCs/>
          <w:lang w:val="id"/>
        </w:rPr>
        <w:t xml:space="preserve"> </w:t>
      </w:r>
      <w:r>
        <w:rPr>
          <w:b/>
          <w:bCs/>
          <w:lang w:val="id"/>
        </w:rPr>
        <w:t xml:space="preserve">masih 31,5% lebih baik daripada</w:t>
      </w:r>
      <w:r>
        <w:rPr>
          <w:b/>
          <w:bCs/>
          <w:lang w:val="id"/>
        </w:rPr>
        <w:t xml:space="preserve"> </w:t>
      </w:r>
      <m:oMath>
        <m:r>
          <m:t>δ</m:t>
        </m:r>
        <m:r>
          <m:rPr>
            <m:sty m:val="p"/>
          </m:rPr>
          <m:t>=</m:t>
        </m:r>
        <m:r>
          <m:t>0</m:t>
        </m:r>
      </m:oMath>
      <w:r>
        <w:rPr>
          <w:b/>
          <w:bCs/>
          <w:lang w:val="id"/>
        </w:rPr>
        <w:t xml:space="preserve">.</w:t>
      </w:r>
      <w:r>
        <w:rPr>
          <w:lang w:val="id"/>
        </w:rPr>
        <w:t xml:space="preserve"> </w:t>
      </w:r>
      <w:r>
        <w:rPr>
          <w:lang w:val="id"/>
        </w:rPr>
        <w:t xml:space="preserve">Mengabaikan data historis sepenuhnya — memberi setiap aset imbal hasil harapan yang sama — menghasilkan estimasi</w:t>
      </w:r>
      <w:r>
        <w:rPr>
          <w:lang w:val="id"/>
        </w:rPr>
        <w:t xml:space="preserve"> </w:t>
      </w:r>
      <w:r>
        <w:rPr>
          <w:b/>
          <w:bCs/>
          <w:lang w:val="id"/>
        </w:rPr>
        <w:t xml:space="preserve">lebih akurat</w:t>
      </w:r>
      <w:r>
        <w:rPr>
          <w:lang w:val="id"/>
        </w:rPr>
        <w:t xml:space="preserve"> </w:t>
      </w:r>
      <w:r>
        <w:rPr>
          <w:lang w:val="id"/>
        </w:rPr>
        <w:t xml:space="preserve">daripada menggunakan rata-rata historis masing-masing aset.</w:t>
      </w:r>
    </w:p>
    <w:p>
      <w:pPr>
        <w:pStyle w:val="BodyText"/>
      </w:pPr>
      <w:r>
        <w:rPr>
          <w:lang w:val="id"/>
        </w:rPr>
        <w:t xml:space="preserve">Angka terakhir itu adalah pernyataan paling tegas dalam modul ini tentang betapa sedikit informasi yang sesungguhnya terkandung dalam rata-rata historis sepuluh tahun. Ia memperkuat, dari arah yang berbeda, temuan L3.1 bahwa 1/N mengalahkan optimasi.</w:t>
      </w:r>
    </w:p>
    <w:p>
      <w:pPr>
        <w:pStyle w:val="BodyText"/>
      </w:pPr>
      <w:r>
        <w:rPr>
          <w:b/>
          <w:bCs/>
          <w:lang w:val="id"/>
        </w:rPr>
        <w:t xml:space="preserve">Penyusutan matriks kovarians</w:t>
      </w:r>
      <w:r>
        <w:rPr>
          <w:lang w:val="id"/>
        </w:rPr>
        <w:t xml:space="preserve"> </w:t>
      </w:r>
      <w:r>
        <w:rPr>
          <w:lang w:val="id"/>
        </w:rPr>
        <w:t xml:space="preserve">bekerja dengan logika yang sama: matriks kovarians sampel ditarik ke arah struktur yang lebih sederhana (misalnya korelasi konstan). Ini membuat matriksnya lebih stabil dan inversinya jauh lebih berperilaku baik — mengatasi persoalan yang meledakkan optimasi tanpa batas di L3.1 §4.5.</w:t>
      </w:r>
    </w:p>
    <w:p>
      <w:r>
        <w:pict>
          <v:rect style="width:0;height:1.5pt" o:hralign="center" o:hrstd="t" o:hr="t"/>
        </w:pict>
      </w:r>
    </w:p>
    <w:bookmarkEnd w:id="15"/>
    <w:bookmarkStart w:id="16" w:name="black-litterman-membalik-arah-pertanyaan"/>
    <w:p>
      <w:pPr>
        <w:pStyle w:val="Heading3"/>
      </w:pPr>
      <w:r>
        <w:rPr>
          <w:lang w:val="id"/>
        </w:rPr>
        <w:t xml:space="preserve">4.5 Black-Litterman: membalik arah pertanyaan</w:t>
      </w:r>
    </w:p>
    <w:p>
      <w:pPr>
        <w:pStyle w:val="FirstParagraph"/>
      </w:pPr>
      <w:r>
        <w:rPr>
          <w:lang w:val="id"/>
        </w:rPr>
        <w:t xml:space="preserve">Pendekatan ketiga adalah yang paling elegan, dan gagasan intinya dapat dinyatakan dalam satu kalimat:</w:t>
      </w:r>
      <w:r>
        <w:rPr>
          <w:lang w:val="id"/>
        </w:rPr>
        <w:t xml:space="preserve"> </w:t>
      </w:r>
      <w:r>
        <w:rPr>
          <w:b/>
          <w:bCs/>
          <w:lang w:val="id"/>
        </w:rPr>
        <w:t xml:space="preserve">jangan mulai dari estimasi Anda; mulai dari apa yang sudah dipercayai pasar, lalu ubah hanya di tempat Anda punya alasan.</w:t>
      </w:r>
    </w:p>
    <w:p>
      <w:pPr>
        <w:pStyle w:val="BodyText"/>
      </w:pPr>
      <w:r>
        <w:rPr>
          <w:b/>
          <w:bCs/>
          <w:lang w:val="id"/>
        </w:rPr>
        <w:t xml:space="preserve">Langkah 1 — optimasi balik.</w:t>
      </w:r>
      <w:r>
        <w:rPr>
          <w:lang w:val="id"/>
        </w:rPr>
        <w:t xml:space="preserve"> </w:t>
      </w:r>
      <w:r>
        <w:rPr>
          <w:lang w:val="id"/>
        </w:rPr>
        <w:t xml:space="preserve">Alih-alih bertanya</w:t>
      </w:r>
      <w:r>
        <w:rPr>
          <w:lang w:val="id"/>
        </w:rPr>
        <w:t xml:space="preserve"> </w:t>
      </w:r>
      <w:r>
        <w:rPr>
          <w:lang w:val="id"/>
        </w:rPr>
        <w:t xml:space="preserve">“bobot apa yang optimal bagi</w:t>
      </w:r>
      <w:r>
        <w:rPr>
          <w:lang w:val="id"/>
        </w:rPr>
        <w:t xml:space="preserve"> </w:t>
      </w:r>
      <m:oMath>
        <m:r>
          <m:rPr>
            <m:sty m:val="bi"/>
          </m:rPr>
          <m:t>μ</m:t>
        </m:r>
      </m:oMath>
      <w:r>
        <w:rPr>
          <w:lang w:val="id"/>
        </w:rPr>
        <w:t xml:space="preserve"> </w:t>
      </w:r>
      <w:r>
        <w:rPr>
          <w:lang w:val="id"/>
        </w:rPr>
        <w:t xml:space="preserve">ini?”</w:t>
      </w:r>
      <w:r>
        <w:rPr>
          <w:lang w:val="id"/>
        </w:rPr>
        <w:t xml:space="preserve">, tanyakan kebalikannya:</w:t>
      </w:r>
      <w:r>
        <w:rPr>
          <w:lang w:val="id"/>
        </w:rPr>
        <w:t xml:space="preserve"> </w:t>
      </w:r>
      <w:r>
        <w:rPr>
          <w:b/>
          <w:bCs/>
          <w:lang w:val="id"/>
        </w:rPr>
        <w:t xml:space="preserve">“</w:t>
      </w:r>
      <m:oMath>
        <m:r>
          <m:rPr>
            <m:sty m:val="bi"/>
          </m:rPr>
          <m:t>μ</m:t>
        </m:r>
      </m:oMath>
      <w:r>
        <w:rPr>
          <w:b/>
          <w:bCs/>
          <w:lang w:val="id"/>
        </w:rPr>
        <w:t xml:space="preserve"> </w:t>
      </w:r>
      <w:r>
        <w:rPr>
          <w:b/>
          <w:bCs/>
          <w:lang w:val="id"/>
        </w:rPr>
        <w:t xml:space="preserve">apa yang membuat bobot pasar menjadi optimal?”</w:t>
      </w:r>
    </w:p>
    <w:p>
      <w:pPr>
        <w:pStyle w:val="BodyText"/>
      </w:pPr>
      <m:oMathPara>
        <m:oMathParaPr>
          <m:jc m:val="center"/>
        </m:oMathParaPr>
        <m:oMath>
          <m:r>
            <m:rPr>
              <m:sty m:val="b"/>
            </m:rPr>
            <m:t>Π</m:t>
          </m:r>
          <m:r>
            <m:rPr>
              <m:sty m:val="p"/>
            </m:rPr>
            <m:t>=</m:t>
          </m:r>
          <m:r>
            <m:t>λ</m:t>
          </m:r>
          <m:r>
            <m:rPr>
              <m:sty m:val="p"/>
            </m:rPr>
            <m:t>Σ</m:t>
          </m:r>
          <m:sSub>
            <m:e>
              <m:r>
                <m:rPr>
                  <m:sty m:val="bi"/>
                </m:rPr>
                <m:t>w</m:t>
              </m:r>
            </m:e>
            <m:sub>
              <m:r>
                <m:rPr>
                  <m:nor/>
                  <m:sty m:val="p"/>
                </m:rPr>
                <m:t>pasar</m:t>
              </m:r>
            </m:sub>
          </m:sSub>
        </m:oMath>
      </m:oMathPara>
    </w:p>
    <w:p>
      <w:pPr>
        <w:pStyle w:val="FirstParagraph"/>
      </w:pPr>
      <w:r>
        <w:rPr>
          <w:lang w:val="id"/>
        </w:rPr>
        <w:t xml:space="preserve">dengan</w:t>
      </w:r>
      <w:r>
        <w:rPr>
          <w:lang w:val="id"/>
        </w:rPr>
        <w:t xml:space="preserve"> </w:t>
      </w:r>
      <m:oMath>
        <m:r>
          <m:t>λ</m:t>
        </m:r>
      </m:oMath>
      <w:r>
        <w:rPr>
          <w:lang w:val="id"/>
        </w:rPr>
        <w:t xml:space="preserve"> </w:t>
      </w:r>
      <w:r>
        <w:rPr>
          <w:lang w:val="id"/>
        </w:rPr>
        <w:t xml:space="preserve">koefisien keengganan risiko agregat, yang dapat diperoleh dari</w:t>
      </w:r>
      <w:r>
        <w:rPr>
          <w:lang w:val="id"/>
        </w:rPr>
        <w:t xml:space="preserve"> </w:t>
      </w:r>
      <m:oMath>
        <m:r>
          <m:t>λ</m:t>
        </m:r>
        <m:r>
          <m:rPr>
            <m:sty m:val="p"/>
          </m:rPr>
          <m:t>=</m:t>
        </m:r>
        <m:r>
          <m:rPr>
            <m:sty m:val="p"/>
          </m:rPr>
          <m:t>(</m:t>
        </m:r>
        <m:sSub>
          <m:e>
            <m:r>
              <m:t>μ</m:t>
            </m:r>
          </m:e>
          <m:sub>
            <m:r>
              <m:t>m</m:t>
            </m:r>
          </m:sub>
        </m:sSub>
        <m:r>
          <m:rPr>
            <m:sty m:val="p"/>
          </m:rPr>
          <m:t>−</m:t>
        </m:r>
        <m:sSub>
          <m:e>
            <m:r>
              <m:t>r</m:t>
            </m:r>
          </m:e>
          <m:sub>
            <m:r>
              <m:t>f</m:t>
            </m:r>
          </m:sub>
        </m:sSub>
        <m:r>
          <m:rPr>
            <m:sty m:val="p"/>
          </m:rPr>
          <m:t>)</m:t>
        </m:r>
        <m:r>
          <m:rPr>
            <m:sty m:val="p"/>
          </m:rPr>
          <m:t>/</m:t>
        </m:r>
        <m:sSubSup>
          <m:e>
            <m:r>
              <m:t>σ</m:t>
            </m:r>
          </m:e>
          <m:sub>
            <m:r>
              <m:t>m</m:t>
            </m:r>
          </m:sub>
          <m:sup>
            <m:r>
              <m:t>2</m:t>
            </m:r>
          </m:sup>
        </m:sSubSup>
      </m:oMath>
      <w:r>
        <w:rPr>
          <w:lang w:val="id"/>
        </w:rPr>
        <w:t xml:space="preserve">.</w:t>
      </w:r>
    </w:p>
    <w:p>
      <w:pPr>
        <w:pStyle w:val="BodyText"/>
      </w:pPr>
      <m:oMath>
        <m:r>
          <m:rPr>
            <m:sty m:val="b"/>
          </m:rPr>
          <m:t>Π</m:t>
        </m:r>
      </m:oMath>
      <w:r>
        <w:rPr>
          <w:lang w:val="id"/>
        </w:rPr>
        <w:t xml:space="preserve"> </w:t>
      </w:r>
      <w:r>
        <w:rPr>
          <w:lang w:val="id"/>
        </w:rPr>
        <w:t xml:space="preserve">adalah</w:t>
      </w:r>
      <w:r>
        <w:rPr>
          <w:lang w:val="id"/>
        </w:rPr>
        <w:t xml:space="preserve"> </w:t>
      </w:r>
      <w:r>
        <w:rPr>
          <w:b/>
          <w:bCs/>
          <w:lang w:val="id"/>
        </w:rPr>
        <w:t xml:space="preserve">imbal hasil ekuilibrium tersirat</w:t>
      </w:r>
      <w:r>
        <w:rPr>
          <w:lang w:val="id"/>
        </w:rPr>
        <w:t xml:space="preserve"> </w:t>
      </w:r>
      <w:r>
        <w:rPr>
          <w:lang w:val="id"/>
        </w:rPr>
        <w:t xml:space="preserve">— himpunan imbal hasil harapan yang konsisten dengan portofolio yang benar-benar dipegang pasar. Ini bukan tebakan; ini pembacaan.</w:t>
      </w:r>
    </w:p>
    <w:p>
      <w:pPr>
        <w:pStyle w:val="BodyText"/>
      </w:pPr>
      <w:r>
        <w:rPr>
          <w:b/>
          <w:bCs/>
          <w:lang w:val="id"/>
        </w:rPr>
        <w:t xml:space="preserve">Hasil perhitungan</w:t>
      </w:r>
      <w:r>
        <w:rPr>
          <w:lang w:val="id"/>
        </w:rPr>
        <w:t xml:space="preserve"> </w:t>
      </w:r>
      <w:r>
        <w:rPr>
          <w:lang w:val="id"/>
        </w:rPr>
        <w:t xml:space="preserve">(rincian di Contoh 3) untuk portofolio pasar 40/30/10/12/8:</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Aset</w:t>
            </w:r>
          </w:p>
        </w:tc>
        <w:tc>
          <w:tcPr/>
          <w:p>
            <w:pPr>
              <w:pStyle w:val="Compact"/>
              <w:jc w:val="right"/>
            </w:pPr>
            <m:oMath>
              <m:r>
                <m:rPr>
                  <m:sty m:val="p"/>
                </m:rPr>
                <m:t>Π</m:t>
              </m:r>
            </m:oMath>
            <w:r>
              <w:rPr>
                <w:lang w:val="id"/>
              </w:rPr>
              <w:t xml:space="preserve"> </w:t>
            </w:r>
            <w:r>
              <w:rPr>
                <w:lang w:val="id"/>
              </w:rPr>
              <w:t xml:space="preserve">(premi atas kas)</w:t>
            </w:r>
          </w:p>
        </w:tc>
        <w:tc>
          <w:tcPr/>
          <w:p>
            <w:pPr>
              <w:pStyle w:val="Compact"/>
              <w:jc w:val="right"/>
            </w:pPr>
            <w:r>
              <w:rPr>
                <w:lang w:val="id"/>
              </w:rPr>
              <w:t xml:space="preserve">Total dengan</w:t>
            </w:r>
            <w:r>
              <w:rPr>
                <w:lang w:val="id"/>
              </w:rPr>
              <w:t xml:space="preserve"> </w:t>
            </w:r>
            <m:oMath>
              <m:sSub>
                <m:e>
                  <m:r>
                    <m:t>r</m:t>
                  </m:r>
                </m:e>
                <m:sub>
                  <m:r>
                    <m:t>f</m:t>
                  </m:r>
                </m:sub>
              </m:sSub>
            </m:oMath>
            <w:r>
              <w:rPr>
                <w:lang w:val="id"/>
              </w:rPr>
              <w:t xml:space="preserve"> </w:t>
            </w:r>
            <w:r>
              <w:rPr>
                <w:lang w:val="id"/>
              </w:rPr>
              <w:t xml:space="preserve">= 5%</w:t>
            </w:r>
          </w:p>
        </w:tc>
      </w:tr>
      <w:tr>
        <w:tc>
          <w:tcPr/>
          <w:p>
            <w:pPr>
              <w:pStyle w:val="Compact"/>
            </w:pPr>
            <w:r>
              <w:rPr>
                <w:lang w:val="id"/>
              </w:rPr>
              <w:t xml:space="preserve">Saham negara maju</w:t>
            </w:r>
          </w:p>
        </w:tc>
        <w:tc>
          <w:tcPr/>
          <w:p>
            <w:pPr>
              <w:pStyle w:val="Compact"/>
              <w:jc w:val="right"/>
            </w:pPr>
            <w:r>
              <w:rPr>
                <w:b/>
                <w:bCs/>
                <w:lang w:val="id"/>
              </w:rPr>
              <w:t xml:space="preserve">5,87%</w:t>
            </w:r>
          </w:p>
        </w:tc>
        <w:tc>
          <w:tcPr/>
          <w:p>
            <w:pPr>
              <w:pStyle w:val="Compact"/>
              <w:jc w:val="right"/>
            </w:pPr>
            <w:r>
              <w:rPr>
                <w:lang w:val="id"/>
              </w:rPr>
              <w:t xml:space="preserve">10,87%</w:t>
            </w:r>
          </w:p>
        </w:tc>
      </w:tr>
      <w:tr>
        <w:tc>
          <w:tcPr/>
          <w:p>
            <w:pPr>
              <w:pStyle w:val="Compact"/>
            </w:pPr>
            <w:r>
              <w:rPr>
                <w:lang w:val="id"/>
              </w:rPr>
              <w:t xml:space="preserve">Obligasi pemerintah</w:t>
            </w:r>
          </w:p>
        </w:tc>
        <w:tc>
          <w:tcPr/>
          <w:p>
            <w:pPr>
              <w:pStyle w:val="Compact"/>
              <w:jc w:val="right"/>
            </w:pPr>
            <w:r>
              <w:rPr>
                <w:lang w:val="id"/>
              </w:rPr>
              <w:t xml:space="preserve">0,82%</w:t>
            </w:r>
          </w:p>
        </w:tc>
        <w:tc>
          <w:tcPr/>
          <w:p>
            <w:pPr>
              <w:pStyle w:val="Compact"/>
              <w:jc w:val="right"/>
            </w:pPr>
            <w:r>
              <w:rPr>
                <w:lang w:val="id"/>
              </w:rPr>
              <w:t xml:space="preserve">5,82%</w:t>
            </w:r>
          </w:p>
        </w:tc>
      </w:tr>
      <w:tr>
        <w:tc>
          <w:tcPr/>
          <w:p>
            <w:pPr>
              <w:pStyle w:val="Compact"/>
            </w:pPr>
            <w:r>
              <w:rPr>
                <w:lang w:val="id"/>
              </w:rPr>
              <w:t xml:space="preserve">Saham negara berkembang</w:t>
            </w:r>
          </w:p>
        </w:tc>
        <w:tc>
          <w:tcPr/>
          <w:p>
            <w:pPr>
              <w:pStyle w:val="Compact"/>
              <w:jc w:val="right"/>
            </w:pPr>
            <w:r>
              <w:rPr>
                <w:lang w:val="id"/>
              </w:rPr>
              <w:t xml:space="preserve">4,24%</w:t>
            </w:r>
          </w:p>
        </w:tc>
        <w:tc>
          <w:tcPr/>
          <w:p>
            <w:pPr>
              <w:pStyle w:val="Compact"/>
              <w:jc w:val="right"/>
            </w:pPr>
            <w:r>
              <w:rPr>
                <w:lang w:val="id"/>
              </w:rPr>
              <w:t xml:space="preserve">9,24%</w:t>
            </w:r>
          </w:p>
        </w:tc>
      </w:tr>
      <w:tr>
        <w:tc>
          <w:tcPr/>
          <w:p>
            <w:pPr>
              <w:pStyle w:val="Compact"/>
            </w:pPr>
            <w:r>
              <w:rPr>
                <w:lang w:val="id"/>
              </w:rPr>
              <w:t xml:space="preserve">Properti/REIT</w:t>
            </w:r>
          </w:p>
        </w:tc>
        <w:tc>
          <w:tcPr/>
          <w:p>
            <w:pPr>
              <w:pStyle w:val="Compact"/>
              <w:jc w:val="right"/>
            </w:pPr>
            <w:r>
              <w:rPr>
                <w:lang w:val="id"/>
              </w:rPr>
              <w:t xml:space="preserve">3,18%</w:t>
            </w:r>
          </w:p>
        </w:tc>
        <w:tc>
          <w:tcPr/>
          <w:p>
            <w:pPr>
              <w:pStyle w:val="Compact"/>
              <w:jc w:val="right"/>
            </w:pPr>
            <w:r>
              <w:rPr>
                <w:lang w:val="id"/>
              </w:rPr>
              <w:t xml:space="preserve">8,18%</w:t>
            </w:r>
          </w:p>
        </w:tc>
      </w:tr>
      <w:tr>
        <w:tc>
          <w:tcPr/>
          <w:p>
            <w:pPr>
              <w:pStyle w:val="Compact"/>
            </w:pPr>
            <w:r>
              <w:rPr>
                <w:lang w:val="id"/>
              </w:rPr>
              <w:t xml:space="preserve">Kas+</w:t>
            </w:r>
          </w:p>
        </w:tc>
        <w:tc>
          <w:tcPr/>
          <w:p>
            <w:pPr>
              <w:pStyle w:val="Compact"/>
              <w:jc w:val="right"/>
            </w:pPr>
            <w:r>
              <w:rPr>
                <w:lang w:val="id"/>
              </w:rPr>
              <w:t xml:space="preserve">0,82%</w:t>
            </w:r>
          </w:p>
        </w:tc>
        <w:tc>
          <w:tcPr/>
          <w:p>
            <w:pPr>
              <w:pStyle w:val="Compact"/>
              <w:jc w:val="right"/>
            </w:pPr>
            <w:r>
              <w:rPr>
                <w:lang w:val="id"/>
              </w:rPr>
              <w:t xml:space="preserve">5,82%</w:t>
            </w:r>
          </w:p>
        </w:tc>
      </w:tr>
    </w:tbl>
    <w:p>
      <w:pPr>
        <w:pStyle w:val="BodyText"/>
      </w:pPr>
      <w:r>
        <w:rPr>
          <w:lang w:val="id"/>
        </w:rPr>
        <w:t xml:space="preserve">Bacalah angka-angka ini sebagai pernyataan tentang pasar:</w:t>
      </w:r>
      <w:r>
        <w:rPr>
          <w:lang w:val="id"/>
        </w:rPr>
        <w:t xml:space="preserve"> </w:t>
      </w:r>
      <w:r>
        <w:rPr>
          <w:b/>
          <w:bCs/>
          <w:lang w:val="id"/>
        </w:rPr>
        <w:t xml:space="preserve">pasar berperilaku seolah-olah ia mengharapkan premi 5,87% dari saham negara maju dan hanya 0,82% dari obligasi pemerintah.</w:t>
      </w:r>
      <w:r>
        <w:rPr>
          <w:lang w:val="id"/>
        </w:rPr>
        <w:t xml:space="preserve"> </w:t>
      </w:r>
      <w:r>
        <w:rPr>
          <w:lang w:val="id"/>
        </w:rPr>
        <w:t xml:space="preserve">Bila Anda tidak setuju, Anda sedang mengambil posisi melawan konsensus — dan Anda sebaiknya dapat menjelaskan mengapa.</w:t>
      </w:r>
    </w:p>
    <w:p>
      <w:pPr>
        <w:pStyle w:val="BodyText"/>
      </w:pPr>
      <w:r>
        <w:rPr>
          <w:b/>
          <w:bCs/>
          <w:lang w:val="id"/>
        </w:rPr>
        <w:t xml:space="preserve">Langkah 2 — masukkan pandangan.</w:t>
      </w:r>
      <w:r>
        <w:rPr>
          <w:lang w:val="id"/>
        </w:rPr>
        <w:t xml:space="preserve"> </w:t>
      </w:r>
      <w:r>
        <w:rPr>
          <w:lang w:val="id"/>
        </w:rPr>
        <w:t xml:space="preserve">Black-Litterman menggabungkan</w:t>
      </w:r>
      <w:r>
        <w:rPr>
          <w:lang w:val="id"/>
        </w:rPr>
        <w:t xml:space="preserve"> </w:t>
      </w:r>
      <m:oMath>
        <m:r>
          <m:rPr>
            <m:sty m:val="b"/>
          </m:rPr>
          <m:t>Π</m:t>
        </m:r>
      </m:oMath>
      <w:r>
        <w:rPr>
          <w:lang w:val="id"/>
        </w:rPr>
        <w:t xml:space="preserve"> </w:t>
      </w:r>
      <w:r>
        <w:rPr>
          <w:lang w:val="id"/>
        </w:rPr>
        <w:t xml:space="preserve">dengan pandangan Anda menurut keyakinan masing-masing:</w:t>
      </w:r>
    </w:p>
    <w:p>
      <w:pPr>
        <w:pStyle w:val="BodyText"/>
      </w:pPr>
      <m:oMathPara>
        <m:oMathParaPr>
          <m:jc m:val="center"/>
        </m:oMathParaPr>
        <m:oMath>
          <m:sSub>
            <m:e>
              <m:r>
                <m:rPr>
                  <m:sty m:val="bi"/>
                </m:rPr>
                <m:t>μ</m:t>
              </m:r>
            </m:e>
            <m:sub>
              <m:r>
                <m:t>B</m:t>
              </m:r>
              <m:r>
                <m:t>L</m:t>
              </m:r>
            </m:sub>
          </m:sSub>
          <m:r>
            <m:rPr>
              <m:sty m:val="p"/>
            </m:rPr>
            <m:t>=</m:t>
          </m:r>
          <m:sSup>
            <m:e>
              <m:d>
                <m:dPr>
                  <m:begChr m:val="["/>
                  <m:sepChr m:val=""/>
                  <m:endChr m:val="]"/>
                  <m:grow/>
                </m:dPr>
                <m:e>
                  <m:r>
                    <m:rPr>
                      <m:sty m:val="p"/>
                    </m:rPr>
                    <m:t>(</m:t>
                  </m:r>
                  <m:r>
                    <m:t>τ</m:t>
                  </m:r>
                  <m:r>
                    <m:rPr>
                      <m:sty m:val="p"/>
                    </m:rPr>
                    <m:t>Σ</m:t>
                  </m:r>
                  <m:sSup>
                    <m:e>
                      <m:r>
                        <m:rPr>
                          <m:sty m:val="p"/>
                        </m:rPr>
                        <m:t>)</m:t>
                      </m:r>
                    </m:e>
                    <m:sup>
                      <m:r>
                        <m:rPr>
                          <m:sty m:val="p"/>
                        </m:rPr>
                        <m:t>−</m:t>
                      </m:r>
                      <m:r>
                        <m:t>1</m:t>
                      </m:r>
                    </m:sup>
                  </m:sSup>
                  <m:r>
                    <m:rPr>
                      <m:sty m:val="p"/>
                    </m:rPr>
                    <m:t>+</m:t>
                  </m:r>
                  <m:sSup>
                    <m:e>
                      <m:r>
                        <m:t>P</m:t>
                      </m:r>
                    </m:e>
                    <m:sup>
                      <m:r>
                        <m:rPr>
                          <m:sty m:val="p"/>
                        </m:rPr>
                        <m:t>′</m:t>
                      </m:r>
                    </m:sup>
                  </m:sSup>
                  <m:sSup>
                    <m:e>
                      <m:r>
                        <m:rPr>
                          <m:sty m:val="p"/>
                        </m:rPr>
                        <m:t>Ω</m:t>
                      </m:r>
                    </m:e>
                    <m:sup>
                      <m:r>
                        <m:rPr>
                          <m:sty m:val="p"/>
                        </m:rPr>
                        <m:t>−</m:t>
                      </m:r>
                      <m:r>
                        <m:t>1</m:t>
                      </m:r>
                    </m:sup>
                  </m:sSup>
                  <m:r>
                    <m:t>P</m:t>
                  </m:r>
                </m:e>
              </m:d>
            </m:e>
            <m:sup>
              <m:r>
                <m:rPr>
                  <m:sty m:val="p"/>
                </m:rPr>
                <m:t>−</m:t>
              </m:r>
              <m:r>
                <m:t>1</m:t>
              </m:r>
            </m:sup>
          </m:sSup>
          <m:d>
            <m:dPr>
              <m:begChr m:val="["/>
              <m:sepChr m:val=""/>
              <m:endChr m:val="]"/>
              <m:grow/>
            </m:dPr>
            <m:e>
              <m:r>
                <m:rPr>
                  <m:sty m:val="p"/>
                </m:rPr>
                <m:t>(</m:t>
              </m:r>
              <m:r>
                <m:t>τ</m:t>
              </m:r>
              <m:r>
                <m:rPr>
                  <m:sty m:val="p"/>
                </m:rPr>
                <m:t>Σ</m:t>
              </m:r>
              <m:sSup>
                <m:e>
                  <m:r>
                    <m:rPr>
                      <m:sty m:val="p"/>
                    </m:rPr>
                    <m:t>)</m:t>
                  </m:r>
                </m:e>
                <m:sup>
                  <m:r>
                    <m:rPr>
                      <m:sty m:val="p"/>
                    </m:rPr>
                    <m:t>−</m:t>
                  </m:r>
                  <m:r>
                    <m:t>1</m:t>
                  </m:r>
                </m:sup>
              </m:sSup>
              <m:r>
                <m:rPr>
                  <m:sty m:val="b"/>
                </m:rPr>
                <m:t>Π</m:t>
              </m:r>
              <m:r>
                <m:rPr>
                  <m:sty m:val="p"/>
                </m:rPr>
                <m:t>+</m:t>
              </m:r>
              <m:sSup>
                <m:e>
                  <m:r>
                    <m:t>P</m:t>
                  </m:r>
                </m:e>
                <m:sup>
                  <m:r>
                    <m:rPr>
                      <m:sty m:val="p"/>
                    </m:rPr>
                    <m:t>′</m:t>
                  </m:r>
                </m:sup>
              </m:sSup>
              <m:sSup>
                <m:e>
                  <m:r>
                    <m:rPr>
                      <m:sty m:val="p"/>
                    </m:rPr>
                    <m:t>Ω</m:t>
                  </m:r>
                </m:e>
                <m:sup>
                  <m:r>
                    <m:rPr>
                      <m:sty m:val="p"/>
                    </m:rPr>
                    <m:t>−</m:t>
                  </m:r>
                  <m:r>
                    <m:t>1</m:t>
                  </m:r>
                </m:sup>
              </m:sSup>
              <m:r>
                <m:t>Q</m:t>
              </m:r>
            </m:e>
          </m:d>
        </m:oMath>
      </m:oMathPara>
    </w:p>
    <w:p>
      <w:pPr>
        <w:pStyle w:val="FirstParagraph"/>
      </w:pPr>
      <w:r>
        <w:rPr>
          <w:lang w:val="id"/>
        </w:rPr>
        <w:t xml:space="preserve">Notasinya berat; logikanya tidak. Ia adalah pembaruan Bayesian:</w:t>
      </w:r>
      <w:r>
        <w:rPr>
          <w:lang w:val="id"/>
        </w:rPr>
        <w:t xml:space="preserve"> </w:t>
      </w:r>
      <w:r>
        <w:rPr>
          <w:b/>
          <w:bCs/>
          <w:lang w:val="id"/>
        </w:rPr>
        <w:t xml:space="preserve">titik awal adalah ekuilibrium, pandangan menggesernya sebanding dengan keyakinan Anda, dan tanpa pandangan hasilnya kembali persis ke bobot pasar.</w:t>
      </w:r>
    </w:p>
    <w:p>
      <w:pPr>
        <w:pStyle w:val="BodyText"/>
      </w:pPr>
      <w:r>
        <w:rPr>
          <w:b/>
          <w:bCs/>
          <w:lang w:val="id"/>
        </w:rPr>
        <w:t xml:space="preserve">Mengapa ini menyelesaikan masalah L3.1.</w:t>
      </w:r>
      <w:r>
        <w:rPr>
          <w:lang w:val="id"/>
        </w:rPr>
        <w:t xml:space="preserve"> </w:t>
      </w:r>
      <w:r>
        <w:rPr>
          <w:lang w:val="id"/>
        </w:rPr>
        <w:t xml:space="preserve">Optimasi rata-rata-varians biasa meledak karena masukan yang bising menghasilkan bobot ekstrem. Black-Litterman berlabuh pada portofolio yang masuk akal secara bawaan, dan</w:t>
      </w:r>
      <w:r>
        <w:rPr>
          <w:lang w:val="id"/>
        </w:rPr>
        <w:t xml:space="preserve"> </w:t>
      </w:r>
      <w:r>
        <w:rPr>
          <w:b/>
          <w:bCs/>
          <w:lang w:val="id"/>
        </w:rPr>
        <w:t xml:space="preserve">hanya menyimpang sejauh pandangan Anda kuat.</w:t>
      </w:r>
      <w:r>
        <w:rPr>
          <w:lang w:val="id"/>
        </w:rPr>
        <w:t xml:space="preserve"> </w:t>
      </w:r>
      <w:r>
        <w:rPr>
          <w:lang w:val="id"/>
        </w:rPr>
        <w:t xml:space="preserve">Tanpa pandangan, tidak ada penyimpangan — sehingga tidak ada ruang bagi derau untuk bertindak.</w:t>
      </w:r>
    </w:p>
    <w:p>
      <w:pPr>
        <w:pStyle w:val="BodyText"/>
      </w:pPr>
      <w:r>
        <w:rPr>
          <w:b/>
          <w:bCs/>
          <w:lang w:val="id"/>
        </w:rPr>
        <w:t xml:space="preserve">Batasnya harus dinyatakan.</w:t>
      </w:r>
      <w:r>
        <w:rPr>
          <w:lang w:val="id"/>
        </w:rPr>
        <w:t xml:space="preserve"> </w:t>
      </w:r>
      <w:r>
        <w:rPr>
          <w:lang w:val="id"/>
        </w:rPr>
        <w:t xml:space="preserve">Black-Litterman memerlukan portofolio pasar yang dapat diamati — yang untuk beberapa kelas aset tidak tersedia. Ia juga memerlukan Anda menetapkan</w:t>
      </w:r>
      <w:r>
        <w:rPr>
          <w:lang w:val="id"/>
        </w:rPr>
        <w:t xml:space="preserve"> </w:t>
      </w:r>
      <m:oMath>
        <m:r>
          <m:t>τ</m:t>
        </m:r>
      </m:oMath>
      <w:r>
        <w:rPr>
          <w:lang w:val="id"/>
        </w:rPr>
        <w:t xml:space="preserve"> </w:t>
      </w:r>
      <w:r>
        <w:rPr>
          <w:lang w:val="id"/>
        </w:rPr>
        <w:t xml:space="preserve">dan</w:t>
      </w:r>
      <w:r>
        <w:rPr>
          <w:lang w:val="id"/>
        </w:rPr>
        <w:t xml:space="preserve"> </w:t>
      </w:r>
      <m:oMath>
        <m:r>
          <m:rPr>
            <m:sty m:val="p"/>
          </m:rPr>
          <m:t>Ω</m:t>
        </m:r>
      </m:oMath>
      <w:r>
        <w:rPr>
          <w:lang w:val="id"/>
        </w:rPr>
        <w:t xml:space="preserve">, yang merupakan pilihan yang memengaruhi hasil dan seringkali ditetapkan sewenang-wenang.</w:t>
      </w:r>
      <w:r>
        <w:rPr>
          <w:lang w:val="id"/>
        </w:rPr>
        <w:t xml:space="preserve"> </w:t>
      </w:r>
      <w:r>
        <w:rPr>
          <w:b/>
          <w:bCs/>
          <w:lang w:val="id"/>
        </w:rPr>
        <w:t xml:space="preserve">Ia mengurangi ketergantungan pada estimasi, tidak menghapusnya.</w:t>
      </w:r>
    </w:p>
    <w:p>
      <w:r>
        <w:pict>
          <v:rect style="width:0;height:1.5pt" o:hralign="center" o:hrstd="t" o:hr="t"/>
        </w:pict>
      </w:r>
    </w:p>
    <w:bookmarkEnd w:id="16"/>
    <w:bookmarkStart w:id="17" w:name="X0b2d6a01e40adbd31c9a5421397a60c7d554551"/>
    <w:p>
      <w:pPr>
        <w:pStyle w:val="Heading3"/>
      </w:pPr>
      <w:r>
        <w:rPr>
          <w:lang w:val="id"/>
        </w:rPr>
        <w:t xml:space="preserve">4.6 Penyeimbangan ulang: apa yang benar-benar dilakukannya</w:t>
      </w:r>
    </w:p>
    <w:p>
      <w:pPr>
        <w:pStyle w:val="FirstParagraph"/>
      </w:pPr>
      <w:r>
        <w:rPr>
          <w:lang w:val="id"/>
        </w:rPr>
        <w:t xml:space="preserve">Klaim yang beredar luas adalah bahwa penyeimbangan ulang menghasilkan</w:t>
      </w:r>
      <w:r>
        <w:rPr>
          <w:lang w:val="id"/>
        </w:rPr>
        <w:t xml:space="preserve"> </w:t>
      </w:r>
      <w:r>
        <w:rPr>
          <w:lang w:val="id"/>
        </w:rPr>
        <w:t xml:space="preserve">“bonus”</w:t>
      </w:r>
      <w:r>
        <w:rPr>
          <w:lang w:val="id"/>
        </w:rPr>
        <w:t xml:space="preserve"> </w:t>
      </w:r>
      <w:r>
        <w:rPr>
          <w:lang w:val="id"/>
        </w:rPr>
        <w:t xml:space="preserve">— imbal hasil tambahan dari menjual yang naik dan membeli yang turun. Klaim itu dapat diuji.</w:t>
      </w:r>
    </w:p>
    <w:p>
      <w:pPr>
        <w:pStyle w:val="BodyText"/>
      </w:pPr>
      <w:r>
        <w:rPr>
          <w:b/>
          <w:bCs/>
          <w:lang w:val="id"/>
        </w:rPr>
        <w:t xml:space="preserve">Rancangan.</w:t>
      </w:r>
      <w:r>
        <w:rPr>
          <w:lang w:val="id"/>
        </w:rPr>
        <w:t xml:space="preserve"> </w:t>
      </w:r>
      <w:r>
        <w:rPr>
          <w:lang w:val="id"/>
        </w:rPr>
        <w:t xml:space="preserve">Portofolio sasaran 40/30/10/12/8, simulasi 20 tahun, 3.000 lintasan, biaya transaksi 15 bps per sisi. Empat kebijakan.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Kebijakan</w:t>
            </w:r>
          </w:p>
        </w:tc>
        <w:tc>
          <w:tcPr/>
          <w:p>
            <w:pPr>
              <w:pStyle w:val="Compact"/>
              <w:jc w:val="right"/>
            </w:pPr>
            <w:r>
              <w:rPr>
                <w:lang w:val="id"/>
              </w:rPr>
              <w:t xml:space="preserve">CAGR</w:t>
            </w:r>
          </w:p>
        </w:tc>
        <w:tc>
          <w:tcPr/>
          <w:p>
            <w:pPr>
              <w:pStyle w:val="Compact"/>
              <w:jc w:val="right"/>
            </w:pPr>
            <w:r>
              <w:rPr>
                <w:lang w:val="id"/>
              </w:rPr>
              <w:t xml:space="preserve">Volatilitas</w:t>
            </w:r>
          </w:p>
        </w:tc>
        <w:tc>
          <w:tcPr/>
          <w:p>
            <w:pPr>
              <w:pStyle w:val="Compact"/>
              <w:jc w:val="right"/>
            </w:pPr>
            <w:r>
              <w:rPr>
                <w:lang w:val="id"/>
              </w:rPr>
              <w:t xml:space="preserve">Sharpe</w:t>
            </w:r>
          </w:p>
        </w:tc>
        <w:tc>
          <w:tcPr/>
          <w:p>
            <w:pPr>
              <w:pStyle w:val="Compact"/>
              <w:jc w:val="right"/>
            </w:pPr>
            <w:r>
              <w:rPr>
                <w:lang w:val="id"/>
              </w:rPr>
              <w:t xml:space="preserve">Perputaran/tahun</w:t>
            </w:r>
          </w:p>
        </w:tc>
      </w:tr>
      <w:tr>
        <w:tc>
          <w:tcPr/>
          <w:p>
            <w:pPr>
              <w:pStyle w:val="Compact"/>
            </w:pPr>
            <w:r>
              <w:rPr>
                <w:lang w:val="id"/>
              </w:rPr>
              <w:t xml:space="preserve">Tanpa penyeimbangan</w:t>
            </w:r>
          </w:p>
        </w:tc>
        <w:tc>
          <w:tcPr/>
          <w:p>
            <w:pPr>
              <w:pStyle w:val="Compact"/>
              <w:jc w:val="right"/>
            </w:pPr>
            <w:r>
              <w:rPr>
                <w:b/>
                <w:bCs/>
                <w:lang w:val="id"/>
              </w:rPr>
              <w:t xml:space="preserve">8,503%</w:t>
            </w:r>
          </w:p>
        </w:tc>
        <w:tc>
          <w:tcPr/>
          <w:p>
            <w:pPr>
              <w:pStyle w:val="Compact"/>
              <w:jc w:val="right"/>
            </w:pPr>
            <w:r>
              <w:rPr>
                <w:b/>
                <w:bCs/>
                <w:lang w:val="id"/>
              </w:rPr>
              <w:t xml:space="preserve">12,18%</w:t>
            </w:r>
          </w:p>
        </w:tc>
        <w:tc>
          <w:tcPr/>
          <w:p>
            <w:pPr>
              <w:pStyle w:val="Compact"/>
              <w:jc w:val="right"/>
            </w:pPr>
            <w:r>
              <w:rPr>
                <w:lang w:val="id"/>
              </w:rPr>
              <w:t xml:space="preserve">0,2877</w:t>
            </w:r>
          </w:p>
        </w:tc>
        <w:tc>
          <w:tcPr/>
          <w:p>
            <w:pPr>
              <w:pStyle w:val="Compact"/>
              <w:jc w:val="right"/>
            </w:pPr>
            <w:r>
              <w:rPr>
                <w:lang w:val="id"/>
              </w:rPr>
              <w:t xml:space="preserve">0,00%</w:t>
            </w:r>
          </w:p>
        </w:tc>
      </w:tr>
      <w:tr>
        <w:tc>
          <w:tcPr/>
          <w:p>
            <w:pPr>
              <w:pStyle w:val="Compact"/>
            </w:pPr>
            <w:r>
              <w:rPr>
                <w:lang w:val="id"/>
              </w:rPr>
              <w:t xml:space="preserve">Kalender (tahunan)</w:t>
            </w:r>
          </w:p>
        </w:tc>
        <w:tc>
          <w:tcPr/>
          <w:p>
            <w:pPr>
              <w:pStyle w:val="Compact"/>
              <w:jc w:val="right"/>
            </w:pPr>
            <w:r>
              <w:rPr>
                <w:lang w:val="id"/>
              </w:rPr>
              <w:t xml:space="preserve">8,228%</w:t>
            </w:r>
          </w:p>
        </w:tc>
        <w:tc>
          <w:tcPr/>
          <w:p>
            <w:pPr>
              <w:pStyle w:val="Compact"/>
              <w:jc w:val="right"/>
            </w:pPr>
            <w:r>
              <w:rPr>
                <w:lang w:val="id"/>
              </w:rPr>
              <w:t xml:space="preserve">11,17%</w:t>
            </w:r>
          </w:p>
        </w:tc>
        <w:tc>
          <w:tcPr/>
          <w:p>
            <w:pPr>
              <w:pStyle w:val="Compact"/>
              <w:jc w:val="right"/>
            </w:pPr>
            <w:r>
              <w:rPr>
                <w:lang w:val="id"/>
              </w:rPr>
              <w:t xml:space="preserve">0,2891</w:t>
            </w:r>
          </w:p>
        </w:tc>
        <w:tc>
          <w:tcPr/>
          <w:p>
            <w:pPr>
              <w:pStyle w:val="Compact"/>
              <w:jc w:val="right"/>
            </w:pPr>
            <w:r>
              <w:rPr>
                <w:lang w:val="id"/>
              </w:rPr>
              <w:t xml:space="preserve">4,32%</w:t>
            </w:r>
          </w:p>
        </w:tc>
      </w:tr>
      <w:tr>
        <w:tc>
          <w:tcPr/>
          <w:p>
            <w:pPr>
              <w:pStyle w:val="Compact"/>
            </w:pPr>
            <w:r>
              <w:rPr>
                <w:lang w:val="id"/>
              </w:rPr>
              <w:t xml:space="preserve">Ambang ketat (5%)</w:t>
            </w:r>
          </w:p>
        </w:tc>
        <w:tc>
          <w:tcPr/>
          <w:p>
            <w:pPr>
              <w:pStyle w:val="Compact"/>
              <w:jc w:val="right"/>
            </w:pPr>
            <w:r>
              <w:rPr>
                <w:lang w:val="id"/>
              </w:rPr>
              <w:t xml:space="preserve">8,098%</w:t>
            </w:r>
          </w:p>
        </w:tc>
        <w:tc>
          <w:tcPr/>
          <w:p>
            <w:pPr>
              <w:pStyle w:val="Compact"/>
              <w:jc w:val="right"/>
            </w:pPr>
            <w:r>
              <w:rPr>
                <w:lang w:val="id"/>
              </w:rPr>
              <w:t xml:space="preserve">11,15%</w:t>
            </w:r>
          </w:p>
        </w:tc>
        <w:tc>
          <w:tcPr/>
          <w:p>
            <w:pPr>
              <w:pStyle w:val="Compact"/>
              <w:jc w:val="right"/>
            </w:pPr>
            <w:r>
              <w:rPr>
                <w:b/>
                <w:bCs/>
                <w:lang w:val="id"/>
              </w:rPr>
              <w:t xml:space="preserve">0,2777</w:t>
            </w:r>
          </w:p>
        </w:tc>
        <w:tc>
          <w:tcPr/>
          <w:p>
            <w:pPr>
              <w:pStyle w:val="Compact"/>
              <w:jc w:val="right"/>
            </w:pPr>
            <w:r>
              <w:rPr>
                <w:lang w:val="id"/>
              </w:rPr>
              <w:t xml:space="preserve">3,67%</w:t>
            </w:r>
          </w:p>
        </w:tc>
      </w:tr>
      <w:tr>
        <w:tc>
          <w:tcPr/>
          <w:p>
            <w:pPr>
              <w:pStyle w:val="Compact"/>
            </w:pPr>
            <w:r>
              <w:rPr>
                <w:b/>
                <w:bCs/>
                <w:lang w:val="id"/>
              </w:rPr>
              <w:t xml:space="preserve">Pita lebar (10%)</w:t>
            </w:r>
          </w:p>
        </w:tc>
        <w:tc>
          <w:tcPr/>
          <w:p>
            <w:pPr>
              <w:pStyle w:val="Compact"/>
              <w:jc w:val="right"/>
            </w:pPr>
            <w:r>
              <w:rPr>
                <w:lang w:val="id"/>
              </w:rPr>
              <w:t xml:space="preserve">8,408%</w:t>
            </w:r>
          </w:p>
        </w:tc>
        <w:tc>
          <w:tcPr/>
          <w:p>
            <w:pPr>
              <w:pStyle w:val="Compact"/>
              <w:jc w:val="right"/>
            </w:pPr>
            <w:r>
              <w:rPr>
                <w:lang w:val="id"/>
              </w:rPr>
              <w:t xml:space="preserve">11,30%</w:t>
            </w:r>
          </w:p>
        </w:tc>
        <w:tc>
          <w:tcPr/>
          <w:p>
            <w:pPr>
              <w:pStyle w:val="Compact"/>
              <w:jc w:val="right"/>
            </w:pPr>
            <w:r>
              <w:rPr>
                <w:b/>
                <w:bCs/>
                <w:lang w:val="id"/>
              </w:rPr>
              <w:t xml:space="preserve">0,3015</w:t>
            </w:r>
          </w:p>
        </w:tc>
        <w:tc>
          <w:tcPr/>
          <w:p>
            <w:pPr>
              <w:pStyle w:val="Compact"/>
              <w:jc w:val="right"/>
            </w:pPr>
            <w:r>
              <w:rPr>
                <w:b/>
                <w:bCs/>
                <w:lang w:val="id"/>
              </w:rPr>
              <w:t xml:space="preserve">1,87%</w:t>
            </w:r>
          </w:p>
        </w:tc>
      </w:tr>
    </w:tbl>
    <w:p>
      <w:pPr>
        <w:pStyle w:val="BodyText"/>
      </w:pPr>
      <w:r>
        <w:rPr>
          <w:b/>
          <w:bCs/>
          <w:lang w:val="id"/>
        </w:rPr>
        <w:t xml:space="preserve">Empat temuan, dan yang pertama mengoreksi kesalahpahaman yang meluas.</w:t>
      </w:r>
    </w:p>
    <w:p>
      <w:pPr>
        <w:pStyle w:val="BodyText"/>
      </w:pPr>
      <w:r>
        <w:rPr>
          <w:b/>
          <w:bCs/>
          <w:lang w:val="id"/>
        </w:rPr>
        <w:t xml:space="preserve">Pertama: tidak ada bonus penyeimbangan ulang.</w:t>
      </w:r>
      <w:r>
        <w:rPr>
          <w:lang w:val="id"/>
        </w:rPr>
        <w:t xml:space="preserve"> </w:t>
      </w:r>
      <w:r>
        <w:rPr>
          <w:lang w:val="id"/>
        </w:rPr>
        <w:t xml:space="preserve">Portofolio tanpa penyeimbangan menghasilkan CAGR</w:t>
      </w:r>
      <w:r>
        <w:rPr>
          <w:lang w:val="id"/>
        </w:rPr>
        <w:t xml:space="preserve"> </w:t>
      </w:r>
      <w:r>
        <w:rPr>
          <w:b/>
          <w:bCs/>
          <w:lang w:val="id"/>
        </w:rPr>
        <w:t xml:space="preserve">tertinggi</w:t>
      </w:r>
      <w:r>
        <w:rPr>
          <w:lang w:val="id"/>
        </w:rPr>
        <w:t xml:space="preserve"> </w:t>
      </w:r>
      <w:r>
        <w:rPr>
          <w:lang w:val="id"/>
        </w:rPr>
        <w:t xml:space="preserve">(8,503%). Setiap kebijakan penyeimbangan menurunkannya.</w:t>
      </w:r>
      <w:r>
        <w:rPr>
          <w:lang w:val="id"/>
        </w:rPr>
        <w:t xml:space="preserve"> </w:t>
      </w:r>
      <w:r>
        <w:rPr>
          <w:lang w:val="id"/>
        </w:rPr>
        <w:t xml:space="preserve">“Bonus”</w:t>
      </w:r>
      <w:r>
        <w:rPr>
          <w:lang w:val="id"/>
        </w:rPr>
        <w:t xml:space="preserve"> </w:t>
      </w:r>
      <w:r>
        <w:rPr>
          <w:lang w:val="id"/>
        </w:rPr>
        <w:t xml:space="preserve">itu tidak ada dalam data ini.</w:t>
      </w:r>
    </w:p>
    <w:p>
      <w:pPr>
        <w:pStyle w:val="BodyText"/>
      </w:pPr>
      <w:r>
        <w:rPr>
          <w:b/>
          <w:bCs/>
          <w:lang w:val="id"/>
        </w:rPr>
        <w:t xml:space="preserve">Kedua: yang benar-benar dilakukan penyeimbangan ulang adalah mengendalikan risiko.</w:t>
      </w:r>
      <w:r>
        <w:rPr>
          <w:lang w:val="id"/>
        </w:rPr>
        <w:t xml:space="preserve"> </w:t>
      </w:r>
      <w:r>
        <w:rPr>
          <w:lang w:val="id"/>
        </w:rPr>
        <w:t xml:space="preserve">Volatilitas turun dari 12,18% menjadi sekitar 11,2%. Tanpa penyeimbangan, bobot melayang ke arah aset yang tumbuh paling cepat — biasanya yang paling berisiko — sehingga portofolio secara diam-diam menjadi lebih agresif daripada yang dipilih pemiliknya.</w:t>
      </w:r>
    </w:p>
    <w:p>
      <w:pPr>
        <w:pStyle w:val="BodyText"/>
      </w:pPr>
      <w:r>
        <w:rPr>
          <w:b/>
          <w:bCs/>
          <w:lang w:val="id"/>
        </w:rPr>
        <w:t xml:space="preserve">Penyeimbangan ulang adalah alat disiplin, bukan alat imbal hasil.</w:t>
      </w:r>
      <w:r>
        <w:rPr>
          <w:lang w:val="id"/>
        </w:rPr>
        <w:t xml:space="preserve"> </w:t>
      </w:r>
      <w:r>
        <w:rPr>
          <w:lang w:val="id"/>
        </w:rPr>
        <w:t xml:space="preserve">Ia menjaga portofolio Anda tetap menjadi portofolio yang Anda putuskan untuk dimiliki.</w:t>
      </w:r>
    </w:p>
    <w:p>
      <w:pPr>
        <w:pStyle w:val="BodyText"/>
      </w:pPr>
      <w:r>
        <w:rPr>
          <w:b/>
          <w:bCs/>
          <w:lang w:val="id"/>
        </w:rPr>
        <w:t xml:space="preserve">Ketiga: pita ketat memakan biaya lebih besar daripada manfaatnya.</w:t>
      </w:r>
      <w:r>
        <w:rPr>
          <w:lang w:val="id"/>
        </w:rPr>
        <w:t xml:space="preserve"> </w:t>
      </w:r>
      <w:r>
        <w:rPr>
          <w:lang w:val="id"/>
        </w:rPr>
        <w:t xml:space="preserve">Ambang 5% menghasilkan Sharpe</w:t>
      </w:r>
      <w:r>
        <w:rPr>
          <w:lang w:val="id"/>
        </w:rPr>
        <w:t xml:space="preserve"> </w:t>
      </w:r>
      <w:r>
        <w:rPr>
          <w:b/>
          <w:bCs/>
          <w:lang w:val="id"/>
        </w:rPr>
        <w:t xml:space="preserve">terendah</w:t>
      </w:r>
      <w:r>
        <w:rPr>
          <w:lang w:val="id"/>
        </w:rPr>
        <w:t xml:space="preserve"> </w:t>
      </w:r>
      <w:r>
        <w:rPr>
          <w:lang w:val="id"/>
        </w:rPr>
        <w:t xml:space="preserve">dari keempatnya (0,2777) — lebih rendah daripada tanpa penyeimbangan sama sekali. Perputaran 3,67% per tahun membeli pengurangan volatilitas 0,02 pp dibanding pita lebar. Itu pertukaran yang buruk.</w:t>
      </w:r>
    </w:p>
    <w:p>
      <w:pPr>
        <w:pStyle w:val="BodyText"/>
      </w:pPr>
      <w:r>
        <w:rPr>
          <w:b/>
          <w:bCs/>
          <w:lang w:val="id"/>
        </w:rPr>
        <w:t xml:space="preserve">Keempat: pita lebar memberikan hampir seluruh manfaat dengan kurang dari separuh biaya.</w:t>
      </w:r>
      <w:r>
        <w:rPr>
          <w:lang w:val="id"/>
        </w:rPr>
        <w:t xml:space="preserve"> </w:t>
      </w:r>
      <w:r>
        <w:rPr>
          <w:lang w:val="id"/>
        </w:rPr>
        <w:t xml:space="preserve">Ambang 10% menghasilkan Sharpe tertinggi (0,3015) dengan perputaran 1,87% —</w:t>
      </w:r>
      <w:r>
        <w:rPr>
          <w:lang w:val="id"/>
        </w:rPr>
        <w:t xml:space="preserve"> </w:t>
      </w:r>
      <w:r>
        <w:rPr>
          <w:b/>
          <w:bCs/>
          <w:lang w:val="id"/>
        </w:rPr>
        <w:t xml:space="preserve">43% dari perputaran pita ketat.</w:t>
      </w:r>
    </w:p>
    <w:p>
      <w:pPr>
        <w:pStyle w:val="BlockText"/>
      </w:pPr>
      <w:r>
        <w:rPr>
          <w:b/>
          <w:bCs/>
          <w:lang w:val="id"/>
        </w:rPr>
        <w:t xml:space="preserve">K-06 — biaya dan pajak adalah satu-satunya imbal hasil yang pasti.</w:t>
      </w:r>
      <w:r>
        <w:rPr>
          <w:lang w:val="id"/>
        </w:rPr>
        <w:t xml:space="preserve"> </w:t>
      </w:r>
      <w:r>
        <w:rPr>
          <w:lang w:val="id"/>
        </w:rPr>
        <w:t xml:space="preserve">Setiap penyeimbangan ulang adalah biaya yang pasti ditanggung untuk manfaat yang tidak pasti. Pita yang lebih lebar berarti lebih sedikit biaya pasti.</w:t>
      </w:r>
    </w:p>
    <w:p>
      <w:pPr>
        <w:pStyle w:val="FirstParagraph"/>
      </w:pPr>
      <w:r>
        <w:rPr>
          <w:b/>
          <w:bCs/>
          <w:lang w:val="id"/>
        </w:rPr>
        <w:t xml:space="preserve">Kebijakan yang direkomendasikan modul ini:</w:t>
      </w:r>
      <w:r>
        <w:rPr>
          <w:lang w:val="id"/>
        </w:rPr>
        <w:t xml:space="preserve"> </w:t>
      </w:r>
      <w:r>
        <w:rPr>
          <w:lang w:val="id"/>
        </w:rPr>
        <w:t xml:space="preserve">pita absolut 5–10 poin persentase per kelas aset, diperiksa kuartalan, dieksekusi hanya bila pita dilanggar,</w:t>
      </w:r>
      <w:r>
        <w:rPr>
          <w:lang w:val="id"/>
        </w:rPr>
        <w:t xml:space="preserve"> </w:t>
      </w:r>
      <w:r>
        <w:rPr>
          <w:b/>
          <w:bCs/>
          <w:lang w:val="id"/>
        </w:rPr>
        <w:t xml:space="preserve">dan dipadukan dengan arus kas masuk</w:t>
      </w:r>
      <w:r>
        <w:rPr>
          <w:lang w:val="id"/>
        </w:rPr>
        <w:t xml:space="preserve"> </w:t>
      </w:r>
      <w:r>
        <w:rPr>
          <w:lang w:val="id"/>
        </w:rPr>
        <w:t xml:space="preserve">— setoran baru diarahkan ke kelas yang paling kurang bobot, sehingga sebagian penyeimbangan terjadi tanpa biaya transaksi sama sekali.</w:t>
      </w:r>
    </w:p>
    <w:p>
      <w:r>
        <w:pict>
          <v:rect style="width:0;height:1.5pt" o:hralign="center" o:hrstd="t" o:hr="t"/>
        </w:pict>
      </w:r>
    </w:p>
    <w:bookmarkEnd w:id="17"/>
    <w:bookmarkStart w:id="18" w:name="menguji-alokasi-taktis"/>
    <w:p>
      <w:pPr>
        <w:pStyle w:val="Heading3"/>
      </w:pPr>
      <w:r>
        <w:rPr>
          <w:lang w:val="id"/>
        </w:rPr>
        <w:t xml:space="preserve">4.7 Menguji alokasi taktis</w:t>
      </w:r>
    </w:p>
    <w:p>
      <w:pPr>
        <w:pStyle w:val="FirstParagraph"/>
      </w:pPr>
      <w:r>
        <w:rPr>
          <w:lang w:val="id"/>
        </w:rPr>
        <w:t xml:space="preserve">Sekarang klaim yang standar buktinya paling tinggi. Kita uji dengan rancangan yang sama ketatnya seperti pengujian sinyal di Level 2.</w:t>
      </w:r>
    </w:p>
    <w:p>
      <w:pPr>
        <w:pStyle w:val="BodyText"/>
      </w:pPr>
      <w:r>
        <w:rPr>
          <w:b/>
          <w:bCs/>
          <w:lang w:val="id"/>
        </w:rPr>
        <w:t xml:space="preserve">Rancangan.</w:t>
      </w:r>
      <w:r>
        <w:rPr>
          <w:lang w:val="id"/>
        </w:rPr>
        <w:t xml:space="preserve"> </w:t>
      </w:r>
      <w:r>
        <w:rPr>
          <w:lang w:val="id"/>
        </w:rPr>
        <w:t xml:space="preserve">Kemiringan taktis berbasis momentum 12 bulan: setiap tahun, tambahkan 10 pp ke kelas aset dengan momentum terkuat dan kurangi 10 pp dari yang terlemah. Bandingkan dengan SAA murni pada</w:t>
      </w:r>
      <w:r>
        <w:rPr>
          <w:lang w:val="id"/>
        </w:rPr>
        <w:t xml:space="preserve"> </w:t>
      </w:r>
      <w:r>
        <w:rPr>
          <w:b/>
          <w:bCs/>
          <w:lang w:val="id"/>
        </w:rPr>
        <w:t xml:space="preserve">lintasan yang identik</w:t>
      </w:r>
      <w:r>
        <w:rPr>
          <w:lang w:val="id"/>
        </w:rPr>
        <w:t xml:space="preserve"> </w:t>
      </w:r>
      <w:r>
        <w:rPr>
          <w:lang w:val="id"/>
        </w:rPr>
        <w:t xml:space="preserve">(uji berpasangan — sehingga perbandingannya tidak terganggu perbedaan sampel). 20 tahun, 3.000 lintasan, biaya 15 bps per sisi.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SAA murni</w:t>
            </w:r>
          </w:p>
        </w:tc>
        <w:tc>
          <w:tcPr/>
          <w:p>
            <w:pPr>
              <w:pStyle w:val="Compact"/>
              <w:jc w:val="right"/>
            </w:pPr>
            <w:r>
              <w:rPr>
                <w:lang w:val="id"/>
              </w:rPr>
              <w:t xml:space="preserve">SAA + TAA</w:t>
            </w:r>
          </w:p>
        </w:tc>
      </w:tr>
      <w:tr>
        <w:tc>
          <w:tcPr/>
          <w:p>
            <w:pPr>
              <w:pStyle w:val="Compact"/>
            </w:pPr>
            <w:r>
              <w:rPr>
                <w:lang w:val="id"/>
              </w:rPr>
              <w:t xml:space="preserve">CAGR</w:t>
            </w:r>
          </w:p>
        </w:tc>
        <w:tc>
          <w:tcPr/>
          <w:p>
            <w:pPr>
              <w:pStyle w:val="Compact"/>
              <w:jc w:val="right"/>
            </w:pPr>
            <w:r>
              <w:rPr>
                <w:lang w:val="id"/>
              </w:rPr>
              <w:t xml:space="preserve">8,193%</w:t>
            </w:r>
          </w:p>
        </w:tc>
        <w:tc>
          <w:tcPr/>
          <w:p>
            <w:pPr>
              <w:pStyle w:val="Compact"/>
              <w:jc w:val="right"/>
            </w:pPr>
            <w:r>
              <w:rPr>
                <w:b/>
                <w:bCs/>
                <w:lang w:val="id"/>
              </w:rPr>
              <w:t xml:space="preserve">8,226%</w:t>
            </w:r>
          </w:p>
        </w:tc>
      </w:tr>
      <w:tr>
        <w:tc>
          <w:tcPr/>
          <w:p>
            <w:pPr>
              <w:pStyle w:val="Compact"/>
            </w:pPr>
            <w:r>
              <w:rPr>
                <w:lang w:val="id"/>
              </w:rPr>
              <w:t xml:space="preserve">Volatilitas</w:t>
            </w:r>
          </w:p>
        </w:tc>
        <w:tc>
          <w:tcPr/>
          <w:p>
            <w:pPr>
              <w:pStyle w:val="Compact"/>
              <w:jc w:val="right"/>
            </w:pPr>
            <w:r>
              <w:rPr>
                <w:lang w:val="id"/>
              </w:rPr>
              <w:t xml:space="preserve">11,15%</w:t>
            </w:r>
          </w:p>
        </w:tc>
        <w:tc>
          <w:tcPr/>
          <w:p>
            <w:pPr>
              <w:pStyle w:val="Compact"/>
              <w:jc w:val="right"/>
            </w:pPr>
            <w:r>
              <w:rPr>
                <w:b/>
                <w:bCs/>
                <w:lang w:val="id"/>
              </w:rPr>
              <w:t xml:space="preserve">11,46%</w:t>
            </w:r>
          </w:p>
        </w:tc>
      </w:tr>
      <w:tr>
        <w:tc>
          <w:tcPr/>
          <w:p>
            <w:pPr>
              <w:pStyle w:val="Compact"/>
            </w:pPr>
            <w:r>
              <w:rPr>
                <w:b/>
                <w:bCs/>
                <w:lang w:val="id"/>
              </w:rPr>
              <w:t xml:space="preserve">Sharpe</w:t>
            </w:r>
          </w:p>
        </w:tc>
        <w:tc>
          <w:tcPr/>
          <w:p>
            <w:pPr>
              <w:pStyle w:val="Compact"/>
              <w:jc w:val="right"/>
            </w:pPr>
            <w:r>
              <w:rPr>
                <w:b/>
                <w:bCs/>
                <w:lang w:val="id"/>
              </w:rPr>
              <w:t xml:space="preserve">0,2865</w:t>
            </w:r>
          </w:p>
        </w:tc>
        <w:tc>
          <w:tcPr/>
          <w:p>
            <w:pPr>
              <w:pStyle w:val="Compact"/>
              <w:jc w:val="right"/>
            </w:pPr>
            <w:r>
              <w:rPr>
                <w:b/>
                <w:bCs/>
                <w:lang w:val="id"/>
              </w:rPr>
              <w:t xml:space="preserve">0,2815</w:t>
            </w:r>
          </w:p>
        </w:tc>
      </w:tr>
      <w:tr>
        <w:tc>
          <w:tcPr/>
          <w:p>
            <w:pPr>
              <w:pStyle w:val="Compact"/>
            </w:pPr>
            <w:r>
              <w:rPr>
                <w:lang w:val="id"/>
              </w:rPr>
              <w:t xml:space="preserve">Perputaran/tahun</w:t>
            </w:r>
          </w:p>
        </w:tc>
        <w:tc>
          <w:tcPr/>
          <w:p>
            <w:pPr>
              <w:pStyle w:val="Compact"/>
              <w:jc w:val="right"/>
            </w:pPr>
            <w:r>
              <w:rPr>
                <w:lang w:val="id"/>
              </w:rPr>
              <w:t xml:space="preserve">4,31%</w:t>
            </w:r>
          </w:p>
        </w:tc>
        <w:tc>
          <w:tcPr/>
          <w:p>
            <w:pPr>
              <w:pStyle w:val="Compact"/>
              <w:jc w:val="right"/>
            </w:pPr>
            <w:r>
              <w:rPr>
                <w:b/>
                <w:bCs/>
                <w:lang w:val="id"/>
              </w:rPr>
              <w:t xml:space="preserve">14,40%</w:t>
            </w:r>
          </w:p>
        </w:tc>
      </w:tr>
    </w:tbl>
    <w:p>
      <w:pPr>
        <w:pStyle w:val="BodyText"/>
      </w:pPr>
      <w:r>
        <w:rPr>
          <w:b/>
          <w:bCs/>
          <w:lang w:val="id"/>
        </w:rPr>
        <w:t xml:space="preserve">Uji berpasangan atas selisih CAGR:</w:t>
      </w:r>
    </w:p>
    <w:p>
      <w:pPr>
        <w:pStyle w:val="BodyText"/>
      </w:pPr>
      <m:oMathPara>
        <m:oMathParaPr>
          <m:jc m:val="center"/>
        </m:oMathParaPr>
        <m:oMath>
          <m:r>
            <m:rPr>
              <m:nor/>
              <m:sty m:val="p"/>
            </m:rPr>
            <m:t>Selisih</m:t>
          </m:r>
          <m:r>
            <m:rPr>
              <m:sty m:val="p"/>
            </m:rPr>
            <m:t>=</m:t>
          </m:r>
          <m:r>
            <m:rPr>
              <m:sty m:val="p"/>
            </m:rPr>
            <m:t>+</m:t>
          </m:r>
          <m:r>
            <m:t>0</m:t>
          </m:r>
          <m:r>
            <m:rPr>
              <m:sty m:val="p"/>
            </m:rPr>
            <m:t>,</m:t>
          </m:r>
          <m:r>
            <m:t>0331</m:t>
          </m:r>
          <m:r>
            <m:t> </m:t>
          </m:r>
          <m:r>
            <m:rPr>
              <m:nor/>
              <m:sty m:val="p"/>
            </m:rPr>
            <m:t>pp</m:t>
          </m:r>
          <m:r>
            <m:t>  </m:t>
          </m:r>
          <m:r>
            <m:t>S</m:t>
          </m:r>
          <m:r>
            <m:t>E</m:t>
          </m:r>
          <m:r>
            <m:rPr>
              <m:sty m:val="p"/>
            </m:rPr>
            <m:t>=</m:t>
          </m:r>
          <m:r>
            <m:t>0</m:t>
          </m:r>
          <m:r>
            <m:rPr>
              <m:sty m:val="p"/>
            </m:rPr>
            <m:t>,</m:t>
          </m:r>
          <m:r>
            <m:t>00769</m:t>
          </m:r>
          <m:r>
            <m:t> </m:t>
          </m:r>
          <m:r>
            <m:rPr>
              <m:nor/>
              <m:sty m:val="p"/>
            </m:rPr>
            <m:t>pp</m:t>
          </m:r>
          <m:r>
            <m:t>  </m:t>
          </m:r>
          <m:r>
            <m:rPr>
              <m:sty m:val="bi"/>
            </m:rPr>
            <m:t>t</m:t>
          </m:r>
          <m:r>
            <m:rPr>
              <m:sty m:val="b"/>
            </m:rPr>
            <m:t>=</m:t>
          </m:r>
          <m:r>
            <m:rPr>
              <m:sty m:val="b"/>
            </m:rPr>
            <m:t>4</m:t>
          </m:r>
          <m:r>
            <m:rPr>
              <m:sty m:val="b"/>
            </m:rPr>
            <m:t>,</m:t>
          </m:r>
          <m:r>
            <m:rPr>
              <m:sty m:val="b"/>
            </m:rPr>
            <m:t>305</m:t>
          </m:r>
        </m:oMath>
      </m:oMathPara>
    </w:p>
    <w:p>
      <w:pPr>
        <w:pStyle w:val="FirstParagraph"/>
      </w:pPr>
      <m:oMathPara>
        <m:oMathParaPr>
          <m:jc m:val="center"/>
        </m:oMathParaPr>
        <m:oMath>
          <m:sSub>
            <m:e>
              <m:r>
                <m:rPr>
                  <m:nor/>
                  <m:sty m:val="p"/>
                </m:rPr>
                <m:t>CI</m:t>
              </m:r>
            </m:e>
            <m:sub>
              <m:r>
                <m:t>95</m:t>
              </m:r>
              <m:r>
                <m:rPr>
                  <m:sty m:val="p"/>
                </m:rPr>
                <m:t>%</m:t>
              </m:r>
            </m:sub>
          </m:sSub>
          <m:r>
            <m:rPr>
              <m:sty m:val="p"/>
            </m:rPr>
            <m:t>=</m:t>
          </m:r>
          <m:r>
            <m:rPr>
              <m:sty m:val="p"/>
            </m:rPr>
            <m:t>[</m:t>
          </m:r>
          <m:r>
            <m:rPr>
              <m:sty m:val="p"/>
            </m:rPr>
            <m:t>+</m:t>
          </m:r>
          <m:r>
            <m:t>0</m:t>
          </m:r>
          <m:r>
            <m:rPr>
              <m:sty m:val="p"/>
            </m:rPr>
            <m:t>,</m:t>
          </m:r>
          <m:r>
            <m:t>0180</m:t>
          </m:r>
          <m:r>
            <m:rPr>
              <m:sty m:val="p"/>
            </m:rPr>
            <m:t>,</m:t>
          </m:r>
          <m:r>
            <m:t> </m:t>
          </m:r>
          <m:r>
            <m:rPr>
              <m:sty m:val="p"/>
            </m:rPr>
            <m:t>+</m:t>
          </m:r>
          <m:r>
            <m:t>0</m:t>
          </m:r>
          <m:r>
            <m:rPr>
              <m:sty m:val="p"/>
            </m:rPr>
            <m:t>,</m:t>
          </m:r>
          <m:r>
            <m:t>0482</m:t>
          </m:r>
          <m:r>
            <m:rPr>
              <m:sty m:val="p"/>
            </m:rPr>
            <m:t>]</m:t>
          </m:r>
          <m:r>
            <m:t> </m:t>
          </m:r>
          <m:r>
            <m:rPr>
              <m:nor/>
              <m:sty m:val="p"/>
            </m:rPr>
            <m:t>pp</m:t>
          </m:r>
        </m:oMath>
      </m:oMathPara>
    </w:p>
    <w:p>
      <w:pPr>
        <w:pStyle w:val="FirstParagraph"/>
      </w:pPr>
      <w:r>
        <w:rPr>
          <w:b/>
          <w:bCs/>
          <w:lang w:val="id"/>
        </w:rPr>
        <w:t xml:space="preserve">Selisihnya signifikan secara statistik dengan margin lebar.</w:t>
      </w:r>
      <w:r>
        <w:rPr>
          <w:lang w:val="id"/>
        </w:rPr>
        <w:t xml:space="preserve"> </w:t>
      </w:r>
      <m:oMath>
        <m:r>
          <m:t>t</m:t>
        </m:r>
        <m:r>
          <m:rPr>
            <m:sty m:val="p"/>
          </m:rPr>
          <m:t>=</m:t>
        </m:r>
        <m:r>
          <m:t>4</m:t>
        </m:r>
        <m:r>
          <m:rPr>
            <m:sty m:val="p"/>
          </m:rPr>
          <m:t>,</m:t>
        </m:r>
        <m:r>
          <m:t>305</m:t>
        </m:r>
      </m:oMath>
      <w:r>
        <w:rPr>
          <w:lang w:val="id"/>
        </w:rPr>
        <w:t xml:space="preserve"> </w:t>
      </w:r>
      <w:r>
        <w:rPr>
          <w:lang w:val="id"/>
        </w:rPr>
        <w:t xml:space="preserve">melampaui hampir setiap ambang yang wajar, termasuk ambang terkoreksi untuk banyak-uji. Selang keyakinannya tidak mencakup nol.</w:t>
      </w:r>
    </w:p>
    <w:p>
      <w:pPr>
        <w:pStyle w:val="BodyText"/>
      </w:pPr>
      <w:r>
        <w:rPr>
          <w:b/>
          <w:bCs/>
          <w:lang w:val="id"/>
        </w:rPr>
        <w:t xml:space="preserve">Dan selisih itu tetap tidak layak dipakai.</w:t>
      </w:r>
      <w:r>
        <w:rPr>
          <w:lang w:val="id"/>
        </w:rPr>
        <w:t xml:space="preserve"> </w:t>
      </w:r>
      <w:r>
        <w:rPr>
          <w:lang w:val="id"/>
        </w:rPr>
        <w:t xml:space="preserve">Inilah pelajaran modul ini.</w:t>
      </w:r>
    </w:p>
    <w:p>
      <w:pPr>
        <w:pStyle w:val="BodyText"/>
      </w:pPr>
      <w:r>
        <w:rPr>
          <w:b/>
          <w:bCs/>
          <w:lang w:val="id"/>
        </w:rPr>
        <w:t xml:space="preserve">Alasan pertama: Sharpe turun.</w:t>
      </w:r>
      <w:r>
        <w:rPr>
          <w:lang w:val="id"/>
        </w:rPr>
        <w:t xml:space="preserve"> </w:t>
      </w:r>
      <w:r>
        <w:rPr>
          <w:lang w:val="id"/>
        </w:rPr>
        <w:t xml:space="preserve">Volatilitas naik 0,31 pp sementara imbal hasil naik hanya 0,033 pp. Rasio imbalan-risiko memburuk dari 0,2865 menjadi 0,2815.</w:t>
      </w:r>
      <w:r>
        <w:rPr>
          <w:lang w:val="id"/>
        </w:rPr>
        <w:t xml:space="preserve"> </w:t>
      </w:r>
      <w:r>
        <w:rPr>
          <w:b/>
          <w:bCs/>
          <w:lang w:val="id"/>
        </w:rPr>
        <w:t xml:space="preserve">Kenaikan imbal hasil yang tipis itu adalah kompensasi atas risiko yang lebih tinggi, bukan keunggulan penentuan waktu.</w:t>
      </w:r>
      <w:r>
        <w:rPr>
          <w:lang w:val="id"/>
        </w:rPr>
        <w:t xml:space="preserve"> </w:t>
      </w:r>
      <w:r>
        <w:rPr>
          <w:lang w:val="id"/>
        </w:rPr>
        <w:t xml:space="preserve">Proses pembangkit data dalam simulasi ini tidak memuat momentum sama sekali; yang dilakukan kemiringan itu hanyalah memiringkan portofolio ke arah aset berisiko lebih tinggi.</w:t>
      </w:r>
    </w:p>
    <w:p>
      <w:pPr>
        <w:pStyle w:val="BodyText"/>
      </w:pPr>
      <w:r>
        <w:rPr>
          <w:b/>
          <w:bCs/>
          <w:lang w:val="id"/>
        </w:rPr>
        <w:t xml:space="preserve">Alasan kedua: besarannya tidak bermakna.</w:t>
      </w:r>
      <w:r>
        <w:rPr>
          <w:lang w:val="id"/>
        </w:rPr>
        <w:t xml:space="preserve"> </w:t>
      </w:r>
      <w:r>
        <w:rPr>
          <w:lang w:val="id"/>
        </w:rPr>
        <w:t xml:space="preserve">Pada portofolio Rp5 miliar, 0,0331 pp adalah</w:t>
      </w:r>
      <w:r>
        <w:rPr>
          <w:lang w:val="id"/>
        </w:rPr>
        <w:t xml:space="preserve"> </w:t>
      </w:r>
      <w:r>
        <w:rPr>
          <w:b/>
          <w:bCs/>
          <w:lang w:val="id"/>
        </w:rPr>
        <w:t xml:space="preserve">Rp1.655.000 per tahun.</w:t>
      </w:r>
      <w:r>
        <w:rPr>
          <w:lang w:val="id"/>
        </w:rPr>
        <w:t xml:space="preserve"> </w:t>
      </w:r>
      <w:r>
        <w:rPr>
          <w:lang w:val="id"/>
        </w:rPr>
        <w:t xml:space="preserve">Itu tidak membayar satu jam waktu seorang analis, apalagi biaya pemantauan bulanan yang diperlukannya.</w:t>
      </w:r>
    </w:p>
    <w:p>
      <w:pPr>
        <w:pStyle w:val="BodyText"/>
      </w:pPr>
      <w:r>
        <w:rPr>
          <w:b/>
          <w:bCs/>
          <w:lang w:val="id"/>
        </w:rPr>
        <w:t xml:space="preserve">Alasan ketiga: perputaran meningkat 3,3 kali lipat</w:t>
      </w:r>
      <w:r>
        <w:rPr>
          <w:lang w:val="id"/>
        </w:rPr>
        <w:t xml:space="preserve"> </w:t>
      </w:r>
      <w:r>
        <w:rPr>
          <w:lang w:val="id"/>
        </w:rPr>
        <w:t xml:space="preserve">— dari 4,31% menjadi 14,40% per tahun — dengan seluruh konsekuensi pajak dan biaya yang menyertainya, yang dalam simulasi ini hanya sebagian tertangkap.</w:t>
      </w:r>
    </w:p>
    <w:p>
      <w:pPr>
        <w:pStyle w:val="BodyText"/>
      </w:pPr>
      <w:r>
        <w:rPr>
          <w:b/>
          <w:bCs/>
          <w:lang w:val="id"/>
        </w:rPr>
        <w:t xml:space="preserve">Alasan keempat: ia hanya menang pada 53,4% lintasan.</w:t>
      </w:r>
      <w:r>
        <w:rPr>
          <w:lang w:val="id"/>
        </w:rPr>
        <w:t xml:space="preserve"> </w:t>
      </w:r>
      <w:r>
        <w:rPr>
          <w:lang w:val="id"/>
        </w:rPr>
        <w:t xml:space="preserve">Nyaris lemparan koin.</w:t>
      </w:r>
    </w:p>
    <w:p>
      <w:pPr>
        <w:pStyle w:val="BlockText"/>
      </w:pPr>
      <w:r>
        <w:rPr>
          <w:b/>
          <w:bCs/>
          <w:lang w:val="id"/>
        </w:rPr>
        <w:t xml:space="preserve">Signifikansi statistik bukan signifikansi ekonomi.</w:t>
      </w:r>
      <w:r>
        <w:rPr>
          <w:lang w:val="id"/>
        </w:rPr>
        <w:t xml:space="preserve"> </w:t>
      </w:r>
      <w:r>
        <w:rPr>
          <w:lang w:val="id"/>
        </w:rPr>
        <w:t xml:space="preserve">Ini adalah perbedaan yang diperkenalkan di L2.3 dan di sini muncul dalam bentuknya yang paling murni: sebuah efek yang</w:t>
      </w:r>
      <w:r>
        <w:rPr>
          <w:lang w:val="id"/>
        </w:rPr>
        <w:t xml:space="preserve"> </w:t>
      </w:r>
      <w:r>
        <w:rPr>
          <w:b/>
          <w:bCs/>
          <w:lang w:val="id"/>
        </w:rPr>
        <w:t xml:space="preserve">benar-benar nyata</w:t>
      </w:r>
      <w:r>
        <w:rPr>
          <w:lang w:val="id"/>
        </w:rPr>
        <w:t xml:space="preserve"> </w:t>
      </w:r>
      <w:r>
        <w:rPr>
          <w:lang w:val="id"/>
        </w:rPr>
        <w:t xml:space="preserve">(</w:t>
      </w:r>
      <m:oMath>
        <m:r>
          <m:t>t</m:t>
        </m:r>
        <m:r>
          <m:rPr>
            <m:sty m:val="p"/>
          </m:rPr>
          <m:t>=</m:t>
        </m:r>
        <m:r>
          <m:t>4</m:t>
        </m:r>
        <m:r>
          <m:rPr>
            <m:sty m:val="p"/>
          </m:rPr>
          <m:t>,</m:t>
        </m:r>
        <m:r>
          <m:t>305</m:t>
        </m:r>
      </m:oMath>
      <w:r>
        <w:rPr>
          <w:lang w:val="id"/>
        </w:rPr>
        <w:t xml:space="preserve">) dan</w:t>
      </w:r>
      <w:r>
        <w:rPr>
          <w:lang w:val="id"/>
        </w:rPr>
        <w:t xml:space="preserve"> </w:t>
      </w:r>
      <w:r>
        <w:rPr>
          <w:b/>
          <w:bCs/>
          <w:lang w:val="id"/>
        </w:rPr>
        <w:t xml:space="preserve">sepenuhnya tidak berharga.</w:t>
      </w:r>
    </w:p>
    <w:p>
      <w:pPr>
        <w:pStyle w:val="FirstParagraph"/>
      </w:pPr>
      <w:r>
        <w:rPr>
          <w:b/>
          <w:bCs/>
          <w:lang w:val="id"/>
        </w:rPr>
        <w:t xml:space="preserve">Apa artinya ini bagi TAA secara umum.</w:t>
      </w:r>
      <w:r>
        <w:rPr>
          <w:lang w:val="id"/>
        </w:rPr>
        <w:t xml:space="preserve"> </w:t>
      </w:r>
      <w:r>
        <w:rPr>
          <w:lang w:val="id"/>
        </w:rPr>
        <w:t xml:space="preserve">Bukan bahwa seluruh alokasi taktis tidak berguna. Artinya:</w:t>
      </w:r>
      <w:r>
        <w:rPr>
          <w:lang w:val="id"/>
        </w:rPr>
        <w:t xml:space="preserve"> </w:t>
      </w:r>
      <w:r>
        <w:rPr>
          <w:b/>
          <w:bCs/>
          <w:lang w:val="id"/>
        </w:rPr>
        <w:t xml:space="preserve">beban pembuktian ada pada yang mengusulkannya</w:t>
      </w:r>
      <w:r>
        <w:rPr>
          <w:lang w:val="id"/>
        </w:rPr>
        <w:t xml:space="preserve">, dan pembuktian itu harus mencakup keempat hal berikut, bukan hanya yang pertama:</w:t>
      </w:r>
    </w:p>
    <w:p>
      <w:pPr>
        <w:pStyle w:val="Compact"/>
        <w:numPr>
          <w:ilvl w:val="0"/>
          <w:numId w:val="1002"/>
        </w:numPr>
      </w:pPr>
      <w:r>
        <w:rPr>
          <w:lang w:val="id"/>
        </w:rPr>
        <w:t xml:space="preserve">Selisih imbal hasil yang signifikan secara statistik</w:t>
      </w:r>
    </w:p>
    <w:p>
      <w:pPr>
        <w:pStyle w:val="Compact"/>
        <w:numPr>
          <w:ilvl w:val="0"/>
          <w:numId w:val="1002"/>
        </w:numPr>
      </w:pPr>
      <w:r>
        <w:rPr>
          <w:b/>
          <w:bCs/>
          <w:lang w:val="id"/>
        </w:rPr>
        <w:t xml:space="preserve">Perbaikan Sharpe</w:t>
      </w:r>
      <w:r>
        <w:rPr>
          <w:lang w:val="id"/>
        </w:rPr>
        <w:t xml:space="preserve">, bukan sekadar perbaikan imbal hasil</w:t>
      </w:r>
    </w:p>
    <w:p>
      <w:pPr>
        <w:pStyle w:val="Compact"/>
        <w:numPr>
          <w:ilvl w:val="0"/>
          <w:numId w:val="1002"/>
        </w:numPr>
      </w:pPr>
      <w:r>
        <w:rPr>
          <w:lang w:val="id"/>
        </w:rPr>
        <w:t xml:space="preserve">Besaran yang bermakna setelah biaya dan pajak</w:t>
      </w:r>
    </w:p>
    <w:p>
      <w:pPr>
        <w:pStyle w:val="Compact"/>
        <w:numPr>
          <w:ilvl w:val="0"/>
          <w:numId w:val="1002"/>
        </w:numPr>
      </w:pPr>
      <w:r>
        <w:rPr>
          <w:lang w:val="id"/>
        </w:rPr>
        <w:t xml:space="preserve">Proporsi kemenangan yang jelas di atas lemparan koin</w:t>
      </w:r>
    </w:p>
    <w:p>
      <w:pPr>
        <w:pStyle w:val="FirstParagraph"/>
      </w:pPr>
      <w:r>
        <w:rPr>
          <w:lang w:val="id"/>
        </w:rPr>
        <w:t xml:space="preserve">Klaim TAA yang hanya menunjukkan butir 1 belum menunjukkan apa pun.</w:t>
      </w:r>
    </w:p>
    <w:p>
      <w:r>
        <w:pict>
          <v:rect style="width:0;height:1.5pt" o:hralign="center" o:hrstd="t" o:hr="t"/>
        </w:pict>
      </w:r>
    </w:p>
    <w:bookmarkEnd w:id="18"/>
    <w:bookmarkStart w:id="19" w:name="kebijakan-alokasi"/>
    <w:p>
      <w:pPr>
        <w:pStyle w:val="Heading3"/>
      </w:pPr>
      <w:r>
        <w:rPr>
          <w:lang w:val="id"/>
        </w:rPr>
        <w:t xml:space="preserve">4.8 Kebijakan Alokasi</w:t>
      </w:r>
    </w:p>
    <w:p>
      <w:pPr>
        <w:pStyle w:val="FirstParagraph"/>
      </w:pPr>
      <w:r>
        <w:rPr>
          <w:lang w:val="id"/>
        </w:rPr>
        <w:t xml:space="preserve">Seluruh modul ini bermuara pada satu dokumen yang mengikat.</w:t>
      </w:r>
    </w:p>
    <w:p>
      <w:pPr>
        <w:pStyle w:val="BodyText"/>
      </w:pPr>
      <w:r>
        <w:rPr>
          <w:b/>
          <w:bCs/>
          <w:lang w:val="id"/>
        </w:rPr>
        <w:t xml:space="preserve">KEBIJAKAN ALOKASI — Templat</w:t>
      </w:r>
    </w:p>
    <w:p>
      <w:pPr>
        <w:pStyle w:val="BodyText"/>
      </w:pPr>
      <w:r>
        <w:rPr>
          <w:b/>
          <w:bCs/>
          <w:lang w:val="id"/>
        </w:rPr>
        <w:t xml:space="preserve">Bagian 1 — Dasar</w:t>
      </w:r>
      <w:r>
        <w:rPr>
          <w:lang w:val="id"/>
        </w:rPr>
        <w:t xml:space="preserve"> </w:t>
      </w:r>
      <w:r>
        <w:rPr>
          <w:lang w:val="id"/>
        </w:rPr>
        <w:t xml:space="preserve">1.1 Tujuan portofolio dan cakrawala: ____</w:t>
      </w:r>
      <w:r>
        <w:rPr>
          <w:lang w:val="id"/>
        </w:rPr>
        <w:t xml:space="preserve"> </w:t>
      </w:r>
      <w:r>
        <w:rPr>
          <w:lang w:val="id"/>
        </w:rPr>
        <w:t xml:space="preserve">1.2 Toleransi risiko, dinyatakan sebagai</w:t>
      </w:r>
      <w:r>
        <w:rPr>
          <w:lang w:val="id"/>
        </w:rPr>
        <w:t xml:space="preserve"> </w:t>
      </w:r>
      <w:r>
        <w:rPr>
          <w:b/>
          <w:bCs/>
          <w:lang w:val="id"/>
        </w:rPr>
        <w:t xml:space="preserve">penurunan maksimum yang dapat ditanggung</w:t>
      </w:r>
      <w:r>
        <w:rPr>
          <w:lang w:val="id"/>
        </w:rPr>
        <w:t xml:space="preserve">: ____%</w:t>
      </w:r>
      <w:r>
        <w:rPr>
          <w:lang w:val="id"/>
        </w:rPr>
        <w:t xml:space="preserve"> </w:t>
      </w:r>
      <w:r>
        <w:rPr>
          <w:lang w:val="id"/>
        </w:rPr>
        <w:t xml:space="preserve">1.3 Kebutuhan likuiditas: ____ per tahun · Cadangan minimum: ____</w:t>
      </w:r>
    </w:p>
    <w:p>
      <w:pPr>
        <w:pStyle w:val="BodyText"/>
      </w:pPr>
      <w:r>
        <w:rPr>
          <w:b/>
          <w:bCs/>
          <w:lang w:val="id"/>
        </w:rPr>
        <w:t xml:space="preserve">Bagian 2 — Alokasi Strategis</w:t>
      </w:r>
      <w:r>
        <w:rPr>
          <w:lang w:val="id"/>
        </w:rPr>
        <w:t xml:space="preserve"> </w:t>
      </w:r>
      <w:r>
        <w:rPr>
          <w:lang w:val="id"/>
        </w:rPr>
        <w:t xml:space="preserve">2.1 Bobot sasaran per kelas aset: ____</w:t>
      </w:r>
      <w:r>
        <w:rPr>
          <w:lang w:val="id"/>
        </w:rPr>
        <w:t xml:space="preserve"> </w:t>
      </w:r>
      <w:r>
        <w:rPr>
          <w:lang w:val="id"/>
        </w:rPr>
        <w:t xml:space="preserve">2.2 Metode penetapan: ☐ Paritas risiko ☐ Black-Litterman ☐ Optimasi terkekang ☐ Pertimbangan tujuan ☐ Gabungan: ____</w:t>
      </w:r>
      <w:r>
        <w:rPr>
          <w:lang w:val="id"/>
        </w:rPr>
        <w:t xml:space="preserve"> </w:t>
      </w:r>
      <w:r>
        <w:rPr>
          <w:lang w:val="id"/>
        </w:rPr>
        <w:t xml:space="preserve">2.3</w:t>
      </w:r>
      <w:r>
        <w:rPr>
          <w:lang w:val="id"/>
        </w:rPr>
        <w:t xml:space="preserve"> </w:t>
      </w:r>
      <w:r>
        <w:rPr>
          <w:b/>
          <w:bCs/>
          <w:lang w:val="id"/>
        </w:rPr>
        <w:t xml:space="preserve">Kontribusi risiko</w:t>
      </w:r>
      <w:r>
        <w:rPr>
          <w:lang w:val="id"/>
        </w:rPr>
        <w:t xml:space="preserve"> </w:t>
      </w:r>
      <w:r>
        <w:rPr>
          <w:lang w:val="id"/>
        </w:rPr>
        <w:t xml:space="preserve">tiap kelas pada bobot sasaran: ____</w:t>
      </w:r>
      <w:r>
        <w:rPr>
          <w:lang w:val="id"/>
        </w:rPr>
        <w:t xml:space="preserve"> </w:t>
      </w:r>
      <w:r>
        <w:rPr>
          <w:lang w:val="id"/>
        </w:rPr>
        <w:t xml:space="preserve">2.4 Volatilitas portofolio pada korelasi normal ____% dan pada</w:t>
      </w:r>
      <w:r>
        <w:rPr>
          <w:lang w:val="id"/>
        </w:rPr>
        <w:t xml:space="preserve"> </w:t>
      </w:r>
      <w:r>
        <w:rPr>
          <w:b/>
          <w:bCs/>
          <w:lang w:val="id"/>
        </w:rPr>
        <w:t xml:space="preserve">korelasi tertekan (</w:t>
      </w:r>
      <m:oMath>
        <m:acc>
          <m:accPr>
            <m:chr m:val="‾"/>
          </m:accPr>
          <m:e>
            <m:r>
              <m:t>ρ</m:t>
            </m:r>
          </m:e>
        </m:acc>
        <m:r>
          <m:rPr>
            <m:sty m:val="p"/>
          </m:rPr>
          <m:t>=</m:t>
        </m:r>
        <m:r>
          <m:t>0</m:t>
        </m:r>
        <m:r>
          <m:rPr>
            <m:sty m:val="p"/>
          </m:rPr>
          <m:t>,</m:t>
        </m:r>
        <m:r>
          <m:t>90</m:t>
        </m:r>
      </m:oMath>
      <w:r>
        <w:rPr>
          <w:b/>
          <w:bCs/>
          <w:lang w:val="id"/>
        </w:rPr>
        <w:t xml:space="preserve">)</w:t>
      </w:r>
      <w:r>
        <w:rPr>
          <w:lang w:val="id"/>
        </w:rPr>
        <w:t xml:space="preserve"> </w:t>
      </w:r>
      <w:r>
        <w:rPr>
          <w:lang w:val="id"/>
        </w:rPr>
        <w:t xml:space="preserve">____%</w:t>
      </w:r>
      <w:r>
        <w:rPr>
          <w:lang w:val="id"/>
        </w:rPr>
        <w:t xml:space="preserve"> </w:t>
      </w:r>
      <w:r>
        <w:rPr>
          <w:lang w:val="id"/>
        </w:rPr>
        <w:t xml:space="preserve">2.5 Kerugian 2σ pada rezim tertekan, dalam rupiah: ____ · Dapat ditanggung? ☐ Ya ☐ Tidak</w:t>
      </w:r>
    </w:p>
    <w:p>
      <w:pPr>
        <w:pStyle w:val="BodyText"/>
      </w:pPr>
      <w:r>
        <w:rPr>
          <w:b/>
          <w:bCs/>
          <w:lang w:val="id"/>
        </w:rPr>
        <w:t xml:space="preserve">Bagian 3 — Penyeimbangan Ulang</w:t>
      </w:r>
      <w:r>
        <w:rPr>
          <w:lang w:val="id"/>
        </w:rPr>
        <w:t xml:space="preserve"> </w:t>
      </w:r>
      <w:r>
        <w:rPr>
          <w:lang w:val="id"/>
        </w:rPr>
        <w:t xml:space="preserve">3.1 Pita per kelas aset: ±____ pp</w:t>
      </w:r>
      <w:r>
        <w:rPr>
          <w:lang w:val="id"/>
        </w:rPr>
        <w:t xml:space="preserve"> </w:t>
      </w:r>
      <w:r>
        <w:rPr>
          <w:lang w:val="id"/>
        </w:rPr>
        <w:t xml:space="preserve">3.2 Frekuensi pemeriksaan: ____ · Eksekusi hanya bila pita dilanggar: ☐ Ya</w:t>
      </w:r>
      <w:r>
        <w:rPr>
          <w:lang w:val="id"/>
        </w:rPr>
        <w:t xml:space="preserve"> </w:t>
      </w:r>
      <w:r>
        <w:rPr>
          <w:lang w:val="id"/>
        </w:rPr>
        <w:t xml:space="preserve">3.3 Arus kas masuk diarahkan ke kelas paling kurang bobot: ☐ Ya</w:t>
      </w:r>
      <w:r>
        <w:rPr>
          <w:lang w:val="id"/>
        </w:rPr>
        <w:t xml:space="preserve"> </w:t>
      </w:r>
      <w:r>
        <w:rPr>
          <w:lang w:val="id"/>
        </w:rPr>
        <w:t xml:space="preserve">3.4 Perputaran tahunan yang diharapkan: ____% · Biaya yang diharapkan: ____</w:t>
      </w:r>
    </w:p>
    <w:p>
      <w:pPr>
        <w:pStyle w:val="BodyText"/>
      </w:pPr>
      <w:r>
        <w:rPr>
          <w:b/>
          <w:bCs/>
          <w:lang w:val="id"/>
        </w:rPr>
        <w:t xml:space="preserve">Bagian 4 — Alokasi Taktis</w:t>
      </w:r>
      <w:r>
        <w:rPr>
          <w:lang w:val="id"/>
        </w:rPr>
        <w:t xml:space="preserve"> </w:t>
      </w:r>
      <w:r>
        <w:rPr>
          <w:lang w:val="id"/>
        </w:rPr>
        <w:t xml:space="preserve">4.1 Apakah TAA diizinkan? ☐ Tidak ☐ Ya, dengan batas berikut:</w:t>
      </w:r>
      <w:r>
        <w:rPr>
          <w:lang w:val="id"/>
        </w:rPr>
        <w:t xml:space="preserve"> </w:t>
      </w:r>
      <w:r>
        <w:rPr>
          <w:lang w:val="id"/>
        </w:rPr>
        <w:t xml:space="preserve">4.2 Penyimpangan maksimum dari SAA: ±____ pp per kelas</w:t>
      </w:r>
      <w:r>
        <w:rPr>
          <w:lang w:val="id"/>
        </w:rPr>
        <w:t xml:space="preserve"> </w:t>
      </w:r>
      <w:r>
        <w:rPr>
          <w:lang w:val="id"/>
        </w:rPr>
        <w:t xml:space="preserve">4.3</w:t>
      </w:r>
      <w:r>
        <w:rPr>
          <w:lang w:val="id"/>
        </w:rPr>
        <w:t xml:space="preserve"> </w:t>
      </w:r>
      <w:r>
        <w:rPr>
          <w:b/>
          <w:bCs/>
          <w:lang w:val="id"/>
        </w:rPr>
        <w:t xml:space="preserve">Bukti yang mendukung</w:t>
      </w:r>
      <w:r>
        <w:rPr>
          <w:lang w:val="id"/>
        </w:rPr>
        <w:t xml:space="preserve"> </w:t>
      </w:r>
      <w:r>
        <w:rPr>
          <w:lang w:val="id"/>
        </w:rPr>
        <w:t xml:space="preserve">(wajib keempat butir): statistik ____ · perbaikan Sharpe ____ · besaran setelah biaya ____ · proporsi kemenangan ____</w:t>
      </w:r>
      <w:r>
        <w:rPr>
          <w:lang w:val="id"/>
        </w:rPr>
        <w:t xml:space="preserve"> </w:t>
      </w:r>
      <w:r>
        <w:rPr>
          <w:lang w:val="id"/>
        </w:rPr>
        <w:t xml:space="preserve">4.4 Bila salah satu dari keempat butir tidak terpenuhi, TAA</w:t>
      </w:r>
      <w:r>
        <w:rPr>
          <w:lang w:val="id"/>
        </w:rPr>
        <w:t xml:space="preserve"> </w:t>
      </w:r>
      <w:r>
        <w:rPr>
          <w:b/>
          <w:bCs/>
          <w:lang w:val="id"/>
        </w:rPr>
        <w:t xml:space="preserve">tidak diizinkan.</w:t>
      </w:r>
    </w:p>
    <w:p>
      <w:pPr>
        <w:pStyle w:val="BodyText"/>
      </w:pPr>
      <w:r>
        <w:rPr>
          <w:b/>
          <w:bCs/>
          <w:lang w:val="id"/>
        </w:rPr>
        <w:t xml:space="preserve">Bagian 5 — Peninjauan</w:t>
      </w:r>
      <w:r>
        <w:rPr>
          <w:lang w:val="id"/>
        </w:rPr>
        <w:t xml:space="preserve"> </w:t>
      </w:r>
      <w:r>
        <w:rPr>
          <w:lang w:val="id"/>
        </w:rPr>
        <w:t xml:space="preserve">5.1 SAA ditinjau: ☐ tahunan ☐ saat tujuan/keadaan berubah —</w:t>
      </w:r>
      <w:r>
        <w:rPr>
          <w:lang w:val="id"/>
        </w:rPr>
        <w:t xml:space="preserve"> </w:t>
      </w:r>
      <w:r>
        <w:rPr>
          <w:b/>
          <w:bCs/>
          <w:lang w:val="id"/>
        </w:rPr>
        <w:t xml:space="preserve">tidak pernah karena kinerja jangka pendek</w:t>
      </w:r>
      <w:r>
        <w:rPr>
          <w:lang w:val="id"/>
        </w:rPr>
        <w:t xml:space="preserve"> </w:t>
      </w:r>
      <w:r>
        <w:rPr>
          <w:lang w:val="id"/>
        </w:rPr>
        <w:t xml:space="preserve">5.2 Perubahan SAA memerlukan: alasan tertulis, data pendukung, dan tenggang 30 hari sebelum eksekusi</w:t>
      </w:r>
      <w:r>
        <w:rPr>
          <w:lang w:val="id"/>
        </w:rPr>
        <w:t xml:space="preserve"> </w:t>
      </w:r>
      <w:r>
        <w:rPr>
          <w:lang w:val="id"/>
        </w:rPr>
        <w:t xml:space="preserve">5.3 Setiap versi diberi nomor dan disimpan</w:t>
      </w:r>
    </w:p>
    <w:p>
      <w:pPr>
        <w:pStyle w:val="BodyText"/>
      </w:pPr>
      <w:r>
        <w:rPr>
          <w:b/>
          <w:bCs/>
          <w:lang w:val="id"/>
        </w:rPr>
        <w:t xml:space="preserve">Tanda tangan dan tanggal:</w:t>
      </w:r>
      <w:r>
        <w:rPr>
          <w:lang w:val="id"/>
        </w:rPr>
        <w:t xml:space="preserve"> </w:t>
      </w:r>
      <w:r>
        <w:rPr>
          <w:lang w:val="id"/>
        </w:rPr>
        <w:t xml:space="preserve">____</w:t>
      </w:r>
    </w:p>
    <w:p>
      <w:pPr>
        <w:pStyle w:val="BodyText"/>
      </w:pPr>
      <w:r>
        <w:rPr>
          <w:b/>
          <w:bCs/>
          <w:lang w:val="id"/>
        </w:rPr>
        <w:t xml:space="preserve">Butir 5.1 adalah yang paling sering dilanggar.</w:t>
      </w:r>
      <w:r>
        <w:rPr>
          <w:lang w:val="id"/>
        </w:rPr>
        <w:t xml:space="preserve"> </w:t>
      </w:r>
      <w:r>
        <w:rPr>
          <w:lang w:val="id"/>
        </w:rPr>
        <w:t xml:space="preserve">Mengubah alokasi strategis karena kinerja kuartalan yang buruk mengubah SAA menjadi TAA yang dijalankan buruk, dan menghapus satu-satunya keunggulan yang dimiliki SAA: bahwa ia tidak memerlukan ramalan.</w:t>
      </w:r>
    </w:p>
    <w:p>
      <w:pPr>
        <w:pStyle w:val="BlockText"/>
      </w:pPr>
      <w:r>
        <w:rPr>
          <w:b/>
          <w:bCs/>
          <w:lang w:val="id"/>
        </w:rPr>
        <w:t xml:space="preserve">K-11 — tulis sebelum bertindak.</w:t>
      </w:r>
      <w:r>
        <w:rPr>
          <w:lang w:val="id"/>
        </w:rPr>
        <w:t xml:space="preserve"> </w:t>
      </w:r>
      <w:r>
        <w:rPr>
          <w:lang w:val="id"/>
        </w:rPr>
        <w:t xml:space="preserve">Kebijakan ini ditulis ketika pasar tenang, justru agar ia dapat dipegang ketika pasar tidak tenang.</w:t>
      </w:r>
    </w:p>
    <w:p>
      <w:r>
        <w:pict>
          <v:rect style="width:0;height:1.5pt" o:hralign="center" o:hrstd="t" o:hr="t"/>
        </w:pict>
      </w:r>
    </w:p>
    <w:bookmarkEnd w:id="19"/>
    <w:bookmarkEnd w:id="20"/>
    <w:bookmarkStart w:id="27" w:name="contoh-terhitung"/>
    <w:p>
      <w:pPr>
        <w:pStyle w:val="Heading2"/>
      </w:pPr>
      <w:r>
        <w:rPr>
          <w:lang w:val="id"/>
        </w:rPr>
        <w:t xml:space="preserve">5. Contoh Terhitung</w:t>
      </w:r>
    </w:p>
    <w:bookmarkStart w:id="21" w:name="X94a513a0b1e1a37f20189bcc1e938d8e9b93636"/>
    <w:p>
      <w:pPr>
        <w:pStyle w:val="Heading3"/>
      </w:pPr>
      <w:r>
        <w:rPr>
          <w:lang w:val="id"/>
        </w:rPr>
        <w:t xml:space="preserve">Contoh 1 — Kontribusi risiko, 1/N, dan paritas risiko</w:t>
      </w:r>
    </w:p>
    <w:p>
      <w:pPr>
        <w:pStyle w:val="FirstParagraph"/>
      </w:pPr>
      <w:r>
        <w:rPr>
          <w:lang w:val="id"/>
        </w:rPr>
        <w:t xml:space="preserve">Lima kelas aset: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Aset</w:t>
            </w:r>
          </w:p>
        </w:tc>
        <w:tc>
          <w:tcPr/>
          <w:p>
            <w:pPr>
              <w:pStyle w:val="Compact"/>
              <w:jc w:val="right"/>
            </w:pPr>
            <w:r>
              <w:rPr>
                <w:lang w:val="id"/>
              </w:rPr>
              <w:t xml:space="preserve">σ</w:t>
            </w:r>
          </w:p>
        </w:tc>
      </w:tr>
      <w:tr>
        <w:tc>
          <w:tcPr/>
          <w:p>
            <w:pPr>
              <w:pStyle w:val="Compact"/>
            </w:pPr>
            <w:r>
              <w:rPr>
                <w:lang w:val="id"/>
              </w:rPr>
              <w:t xml:space="preserve">Saham negara maju</w:t>
            </w:r>
          </w:p>
        </w:tc>
        <w:tc>
          <w:tcPr/>
          <w:p>
            <w:pPr>
              <w:pStyle w:val="Compact"/>
              <w:jc w:val="right"/>
            </w:pPr>
            <w:r>
              <w:rPr>
                <w:lang w:val="id"/>
              </w:rPr>
              <w:t xml:space="preserve">20%</w:t>
            </w:r>
          </w:p>
        </w:tc>
      </w:tr>
      <w:tr>
        <w:tc>
          <w:tcPr/>
          <w:p>
            <w:pPr>
              <w:pStyle w:val="Compact"/>
            </w:pPr>
            <w:r>
              <w:rPr>
                <w:lang w:val="id"/>
              </w:rPr>
              <w:t xml:space="preserve">Obligasi pemerintah</w:t>
            </w:r>
          </w:p>
        </w:tc>
        <w:tc>
          <w:tcPr/>
          <w:p>
            <w:pPr>
              <w:pStyle w:val="Compact"/>
              <w:jc w:val="right"/>
            </w:pPr>
            <w:r>
              <w:rPr>
                <w:lang w:val="id"/>
              </w:rPr>
              <w:t xml:space="preserve">8%</w:t>
            </w:r>
          </w:p>
        </w:tc>
      </w:tr>
      <w:tr>
        <w:tc>
          <w:tcPr/>
          <w:p>
            <w:pPr>
              <w:pStyle w:val="Compact"/>
            </w:pPr>
            <w:r>
              <w:rPr>
                <w:lang w:val="id"/>
              </w:rPr>
              <w:t xml:space="preserve">Saham negara berkembang</w:t>
            </w:r>
          </w:p>
        </w:tc>
        <w:tc>
          <w:tcPr/>
          <w:p>
            <w:pPr>
              <w:pStyle w:val="Compact"/>
              <w:jc w:val="right"/>
            </w:pPr>
            <w:r>
              <w:rPr>
                <w:lang w:val="id"/>
              </w:rPr>
              <w:t xml:space="preserve">17%</w:t>
            </w:r>
          </w:p>
        </w:tc>
      </w:tr>
      <w:tr>
        <w:tc>
          <w:tcPr/>
          <w:p>
            <w:pPr>
              <w:pStyle w:val="Compact"/>
            </w:pPr>
            <w:r>
              <w:rPr>
                <w:lang w:val="id"/>
              </w:rPr>
              <w:t xml:space="preserve">Properti/REIT</w:t>
            </w:r>
          </w:p>
        </w:tc>
        <w:tc>
          <w:tcPr/>
          <w:p>
            <w:pPr>
              <w:pStyle w:val="Compact"/>
              <w:jc w:val="right"/>
            </w:pPr>
            <w:r>
              <w:rPr>
                <w:lang w:val="id"/>
              </w:rPr>
              <w:t xml:space="preserve">14%</w:t>
            </w:r>
          </w:p>
        </w:tc>
      </w:tr>
      <w:tr>
        <w:tc>
          <w:tcPr/>
          <w:p>
            <w:pPr>
              <w:pStyle w:val="Compact"/>
            </w:pPr>
            <w:r>
              <w:rPr>
                <w:lang w:val="id"/>
              </w:rPr>
              <w:t xml:space="preserve">Kas+</w:t>
            </w:r>
          </w:p>
        </w:tc>
        <w:tc>
          <w:tcPr/>
          <w:p>
            <w:pPr>
              <w:pStyle w:val="Compact"/>
              <w:jc w:val="right"/>
            </w:pPr>
            <w:r>
              <w:rPr>
                <w:lang w:val="id"/>
              </w:rPr>
              <w:t xml:space="preserve">11%</w:t>
            </w:r>
          </w:p>
        </w:tc>
      </w:tr>
    </w:tbl>
    <w:p>
      <w:pPr>
        <w:pStyle w:val="BodyText"/>
      </w:pPr>
      <w:r>
        <w:rPr>
          <w:lang w:val="id"/>
        </w:rPr>
        <w:t xml:space="preserve">Korelasi: DM–EM 0,75 · DM–Properti 0,60 · EM–Properti 0,55 · Obligasi–Kas+ 0,30 · Obligasi–Properti 0,25 · Obligasi–EM 0,10 · DM–Kas+ 0,10 · DM–Obligasi 0,05 · EM–Kas+ 0,05 · Properti–Kas+ 0,10</w:t>
      </w:r>
    </w:p>
    <w:p>
      <w:pPr>
        <w:pStyle w:val="BodyText"/>
      </w:pPr>
      <w:r>
        <w:rPr>
          <w:b/>
          <w:bCs/>
          <w:lang w:val="id"/>
        </w:rPr>
        <w:t xml:space="preserve">Langkah 1 — portofolio 1/N.</w:t>
      </w:r>
      <w:r>
        <w:rPr>
          <w:lang w:val="id"/>
        </w:rPr>
        <w:t xml:space="preserve"> </w:t>
      </w:r>
      <w:r>
        <w:rPr>
          <w:lang w:val="id"/>
        </w:rPr>
        <w:t xml:space="preserve">Bobot 20% masing-masing.</w:t>
      </w:r>
    </w:p>
    <w:p>
      <w:pPr>
        <w:pStyle w:val="BodyText"/>
      </w:pPr>
      <m:oMathPara>
        <m:oMathParaPr>
          <m:jc m:val="center"/>
        </m:oMathParaPr>
        <m:oMath>
          <m:sSub>
            <m:e>
              <m:r>
                <m:t>σ</m:t>
              </m:r>
            </m:e>
            <m:sub>
              <m:r>
                <m:t>p</m:t>
              </m:r>
            </m:sub>
          </m:sSub>
          <m:r>
            <m:rPr>
              <m:sty m:val="p"/>
            </m:rPr>
            <m:t>=</m:t>
          </m:r>
          <m:r>
            <m:rPr>
              <m:sty m:val="b"/>
            </m:rPr>
            <m:t>9</m:t>
          </m:r>
          <m:r>
            <m:rPr>
              <m:sty m:val="b"/>
            </m:rPr>
            <m:t>,</m:t>
          </m:r>
          <m:r>
            <m:rPr>
              <m:sty m:val="b"/>
            </m:rPr>
            <m:t>85</m:t>
          </m:r>
          <m:r>
            <m:rPr>
              <m:sty m:val="b"/>
            </m:rPr>
            <m:t>%</m:t>
          </m:r>
        </m:oMath>
      </m:oMathPara>
    </w:p>
    <w:p>
      <w:pPr>
        <w:pStyle w:val="FirstParagraph"/>
      </w:pPr>
      <w:r>
        <w:rPr>
          <w:b/>
          <w:bCs/>
          <w:lang w:val="id"/>
        </w:rPr>
        <w:t xml:space="preserve">Langkah 2 — uraikan kontribusi risikonya.</w:t>
      </w:r>
    </w:p>
    <w:p>
      <w:pPr>
        <w:pStyle w:val="BodyText"/>
      </w:pPr>
      <m:oMathPara>
        <m:oMathParaPr>
          <m:jc m:val="center"/>
        </m:oMathParaPr>
        <m:oMath>
          <m:r>
            <m:t>M</m:t>
          </m:r>
          <m:r>
            <m:t>R</m:t>
          </m:r>
          <m:sSub>
            <m:e>
              <m:r>
                <m:t>C</m:t>
              </m:r>
            </m:e>
            <m:sub>
              <m:r>
                <m:t>i</m:t>
              </m:r>
            </m:sub>
          </m:sSub>
          <m:r>
            <m:rPr>
              <m:sty m:val="p"/>
            </m:rPr>
            <m:t>=</m:t>
          </m:r>
          <m:f>
            <m:fPr>
              <m:type m:val="bar"/>
            </m:fPr>
            <m:num>
              <m:r>
                <m:rPr>
                  <m:sty m:val="p"/>
                </m:rPr>
                <m:t>(</m:t>
              </m:r>
              <m:r>
                <m:rPr>
                  <m:sty m:val="p"/>
                </m:rPr>
                <m:t>Σ</m:t>
              </m:r>
              <m:r>
                <m:rPr>
                  <m:sty m:val="bi"/>
                </m:rPr>
                <m:t>w</m:t>
              </m:r>
              <m:sSub>
                <m:e>
                  <m:r>
                    <m:rPr>
                      <m:sty m:val="p"/>
                    </m:rPr>
                    <m:t>)</m:t>
                  </m:r>
                </m:e>
                <m:sub>
                  <m:r>
                    <m:t>i</m:t>
                  </m:r>
                </m:sub>
              </m:sSub>
            </m:num>
            <m:den>
              <m:sSub>
                <m:e>
                  <m:r>
                    <m:t>σ</m:t>
                  </m:r>
                </m:e>
                <m:sub>
                  <m:r>
                    <m:t>p</m:t>
                  </m:r>
                </m:sub>
              </m:sSub>
            </m:den>
          </m:f>
          <m:r>
            <m:t>  </m:t>
          </m:r>
          <m:r>
            <m:t>R</m:t>
          </m:r>
          <m:sSub>
            <m:e>
              <m:r>
                <m:t>C</m:t>
              </m:r>
            </m:e>
            <m:sub>
              <m:r>
                <m:t>i</m:t>
              </m:r>
            </m:sub>
          </m:sSub>
          <m:r>
            <m:rPr>
              <m:sty m:val="p"/>
            </m:rPr>
            <m:t>=</m:t>
          </m:r>
          <m:sSub>
            <m:e>
              <m:r>
                <m:t>w</m:t>
              </m:r>
            </m:e>
            <m:sub>
              <m:r>
                <m:t>i</m:t>
              </m:r>
            </m:sub>
          </m:sSub>
          <m:r>
            <m:rPr>
              <m:sty m:val="p"/>
            </m:rPr>
            <m:t>×</m:t>
          </m:r>
          <m:r>
            <m:t>M</m:t>
          </m:r>
          <m:r>
            <m:t>R</m:t>
          </m:r>
          <m:sSub>
            <m:e>
              <m:r>
                <m:t>C</m:t>
              </m:r>
            </m:e>
            <m:sub>
              <m:r>
                <m:t>i</m:t>
              </m:r>
            </m:sub>
          </m:sSub>
        </m:oMath>
      </m:oMathPara>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Aset</w:t>
            </w:r>
          </w:p>
        </w:tc>
        <w:tc>
          <w:tcPr/>
          <w:p>
            <w:pPr>
              <w:pStyle w:val="Compact"/>
              <w:jc w:val="right"/>
            </w:pPr>
            <m:oMath>
              <m:r>
                <m:t>w</m:t>
              </m:r>
            </m:oMath>
            <w:r>
              <w:rPr>
                <w:lang w:val="id"/>
              </w:rPr>
              <w:t xml:space="preserve">​</w:t>
            </w:r>
          </w:p>
        </w:tc>
        <w:tc>
          <w:tcPr/>
          <w:p>
            <w:pPr>
              <w:pStyle w:val="Compact"/>
              <w:jc w:val="right"/>
            </w:pPr>
            <m:oMath>
              <m:r>
                <m:t>R</m:t>
              </m:r>
              <m:r>
                <m:t>C</m:t>
              </m:r>
            </m:oMath>
            <w:r>
              <w:rPr>
                <w:lang w:val="id"/>
              </w:rPr>
              <w:t xml:space="preserve">​</w:t>
            </w:r>
          </w:p>
        </w:tc>
        <w:tc>
          <w:tcPr/>
          <w:p>
            <w:pPr>
              <w:pStyle w:val="Compact"/>
              <w:jc w:val="right"/>
            </w:pPr>
            <w:r>
              <w:rPr>
                <w:lang w:val="id"/>
              </w:rPr>
              <w:t xml:space="preserve">% dari</w:t>
            </w:r>
            <w:r>
              <w:rPr>
                <w:lang w:val="id"/>
              </w:rPr>
              <w:t xml:space="preserve"> </w:t>
            </w:r>
            <m:oMath>
              <m:sSub>
                <m:e>
                  <m:r>
                    <m:t>σ</m:t>
                  </m:r>
                </m:e>
                <m:sub>
                  <m:r>
                    <m:t>p</m:t>
                  </m:r>
                </m:sub>
              </m:sSub>
            </m:oMath>
          </w:p>
        </w:tc>
      </w:tr>
      <w:tr>
        <w:tc>
          <w:tcPr/>
          <w:p>
            <w:pPr>
              <w:pStyle w:val="Compact"/>
            </w:pPr>
            <w:r>
              <w:rPr>
                <w:lang w:val="id"/>
              </w:rPr>
              <w:t xml:space="preserve">Saham negara maju</w:t>
            </w:r>
          </w:p>
        </w:tc>
        <w:tc>
          <w:tcPr/>
          <w:p>
            <w:pPr>
              <w:pStyle w:val="Compact"/>
              <w:jc w:val="right"/>
            </w:pPr>
            <w:r>
              <w:rPr>
                <w:lang w:val="id"/>
              </w:rPr>
              <w:t xml:space="preserve">20%</w:t>
            </w:r>
          </w:p>
        </w:tc>
        <w:tc>
          <w:tcPr/>
          <w:p>
            <w:pPr>
              <w:pStyle w:val="Compact"/>
              <w:jc w:val="right"/>
            </w:pPr>
            <w:r>
              <w:rPr>
                <w:lang w:val="id"/>
              </w:rPr>
              <w:t xml:space="preserve">0,0347</w:t>
            </w:r>
          </w:p>
        </w:tc>
        <w:tc>
          <w:tcPr/>
          <w:p>
            <w:pPr>
              <w:pStyle w:val="Compact"/>
              <w:jc w:val="right"/>
            </w:pPr>
            <w:r>
              <w:rPr>
                <w:b/>
                <w:bCs/>
                <w:lang w:val="id"/>
              </w:rPr>
              <w:t xml:space="preserve">35,2%</w:t>
            </w:r>
          </w:p>
        </w:tc>
      </w:tr>
      <w:tr>
        <w:tc>
          <w:tcPr/>
          <w:p>
            <w:pPr>
              <w:pStyle w:val="Compact"/>
            </w:pPr>
            <w:r>
              <w:rPr>
                <w:lang w:val="id"/>
              </w:rPr>
              <w:t xml:space="preserve">Obligasi pemerintah</w:t>
            </w:r>
          </w:p>
        </w:tc>
        <w:tc>
          <w:tcPr/>
          <w:p>
            <w:pPr>
              <w:pStyle w:val="Compact"/>
              <w:jc w:val="right"/>
            </w:pPr>
            <w:r>
              <w:rPr>
                <w:lang w:val="id"/>
              </w:rPr>
              <w:t xml:space="preserve">20%</w:t>
            </w:r>
          </w:p>
        </w:tc>
        <w:tc>
          <w:tcPr/>
          <w:p>
            <w:pPr>
              <w:pStyle w:val="Compact"/>
              <w:jc w:val="right"/>
            </w:pPr>
            <w:r>
              <w:rPr>
                <w:lang w:val="id"/>
              </w:rPr>
              <w:t xml:space="preserve">0,0057</w:t>
            </w:r>
          </w:p>
        </w:tc>
        <w:tc>
          <w:tcPr/>
          <w:p>
            <w:pPr>
              <w:pStyle w:val="Compact"/>
              <w:jc w:val="right"/>
            </w:pPr>
            <w:r>
              <w:rPr>
                <w:b/>
                <w:bCs/>
                <w:lang w:val="id"/>
              </w:rPr>
              <w:t xml:space="preserve">5,8%</w:t>
            </w:r>
          </w:p>
        </w:tc>
      </w:tr>
      <w:tr>
        <w:tc>
          <w:tcPr/>
          <w:p>
            <w:pPr>
              <w:pStyle w:val="Compact"/>
            </w:pPr>
            <w:r>
              <w:rPr>
                <w:lang w:val="id"/>
              </w:rPr>
              <w:t xml:space="preserve">Saham negara berkembang</w:t>
            </w:r>
          </w:p>
        </w:tc>
        <w:tc>
          <w:tcPr/>
          <w:p>
            <w:pPr>
              <w:pStyle w:val="Compact"/>
              <w:jc w:val="right"/>
            </w:pPr>
            <w:r>
              <w:rPr>
                <w:lang w:val="id"/>
              </w:rPr>
              <w:t xml:space="preserve">20%</w:t>
            </w:r>
          </w:p>
        </w:tc>
        <w:tc>
          <w:tcPr/>
          <w:p>
            <w:pPr>
              <w:pStyle w:val="Compact"/>
              <w:jc w:val="right"/>
            </w:pPr>
            <w:r>
              <w:rPr>
                <w:lang w:val="id"/>
              </w:rPr>
              <w:t xml:space="preserve">0,0284</w:t>
            </w:r>
          </w:p>
        </w:tc>
        <w:tc>
          <w:tcPr/>
          <w:p>
            <w:pPr>
              <w:pStyle w:val="Compact"/>
              <w:jc w:val="right"/>
            </w:pPr>
            <w:r>
              <w:rPr>
                <w:lang w:val="id"/>
              </w:rPr>
              <w:t xml:space="preserve">28,8%</w:t>
            </w:r>
          </w:p>
        </w:tc>
      </w:tr>
      <w:tr>
        <w:tc>
          <w:tcPr/>
          <w:p>
            <w:pPr>
              <w:pStyle w:val="Compact"/>
            </w:pPr>
            <w:r>
              <w:rPr>
                <w:lang w:val="id"/>
              </w:rPr>
              <w:t xml:space="preserve">Properti/REIT</w:t>
            </w:r>
          </w:p>
        </w:tc>
        <w:tc>
          <w:tcPr/>
          <w:p>
            <w:pPr>
              <w:pStyle w:val="Compact"/>
              <w:jc w:val="right"/>
            </w:pPr>
            <w:r>
              <w:rPr>
                <w:lang w:val="id"/>
              </w:rPr>
              <w:t xml:space="preserve">20%</w:t>
            </w:r>
          </w:p>
        </w:tc>
        <w:tc>
          <w:tcPr/>
          <w:p>
            <w:pPr>
              <w:pStyle w:val="Compact"/>
              <w:jc w:val="right"/>
            </w:pPr>
            <w:r>
              <w:rPr>
                <w:lang w:val="id"/>
              </w:rPr>
              <w:t xml:space="preserve">0,0219</w:t>
            </w:r>
          </w:p>
        </w:tc>
        <w:tc>
          <w:tcPr/>
          <w:p>
            <w:pPr>
              <w:pStyle w:val="Compact"/>
              <w:jc w:val="right"/>
            </w:pPr>
            <w:r>
              <w:rPr>
                <w:lang w:val="id"/>
              </w:rPr>
              <w:t xml:space="preserve">22,2%</w:t>
            </w:r>
          </w:p>
        </w:tc>
      </w:tr>
      <w:tr>
        <w:tc>
          <w:tcPr/>
          <w:p>
            <w:pPr>
              <w:pStyle w:val="Compact"/>
            </w:pPr>
            <w:r>
              <w:rPr>
                <w:lang w:val="id"/>
              </w:rPr>
              <w:t xml:space="preserve">Kas+</w:t>
            </w:r>
          </w:p>
        </w:tc>
        <w:tc>
          <w:tcPr/>
          <w:p>
            <w:pPr>
              <w:pStyle w:val="Compact"/>
              <w:jc w:val="right"/>
            </w:pPr>
            <w:r>
              <w:rPr>
                <w:lang w:val="id"/>
              </w:rPr>
              <w:t xml:space="preserve">20%</w:t>
            </w:r>
          </w:p>
        </w:tc>
        <w:tc>
          <w:tcPr/>
          <w:p>
            <w:pPr>
              <w:pStyle w:val="Compact"/>
              <w:jc w:val="right"/>
            </w:pPr>
            <w:r>
              <w:rPr>
                <w:lang w:val="id"/>
              </w:rPr>
              <w:t xml:space="preserve">0,0079</w:t>
            </w:r>
          </w:p>
        </w:tc>
        <w:tc>
          <w:tcPr/>
          <w:p>
            <w:pPr>
              <w:pStyle w:val="Compact"/>
              <w:jc w:val="right"/>
            </w:pPr>
            <w:r>
              <w:rPr>
                <w:lang w:val="id"/>
              </w:rPr>
              <w:t xml:space="preserve">8,0%</w:t>
            </w:r>
          </w:p>
        </w:tc>
      </w:tr>
      <w:tr>
        <w:tc>
          <w:tcPr/>
          <w:p>
            <w:pPr>
              <w:pStyle w:val="Compact"/>
            </w:pPr>
            <w:r>
              <w:rPr>
                <w:b/>
                <w:bCs/>
                <w:lang w:val="id"/>
              </w:rPr>
              <w:t xml:space="preserve">Σ</w:t>
            </w:r>
          </w:p>
        </w:tc>
        <w:tc>
          <w:tcPr/>
          <w:p>
            <w:pPr>
              <w:pStyle w:val="Compact"/>
              <w:jc w:val="right"/>
            </w:pPr>
            <w:r>
              <w:rPr>
                <w:b/>
                <w:bCs/>
                <w:lang w:val="id"/>
              </w:rPr>
              <w:t xml:space="preserve">100%</w:t>
            </w:r>
          </w:p>
        </w:tc>
        <w:tc>
          <w:tcPr/>
          <w:p>
            <w:pPr>
              <w:pStyle w:val="Compact"/>
              <w:jc w:val="right"/>
            </w:pPr>
            <w:r>
              <w:rPr>
                <w:b/>
                <w:bCs/>
                <w:lang w:val="id"/>
              </w:rPr>
              <w:t xml:space="preserve">0,0985</w:t>
            </w:r>
          </w:p>
        </w:tc>
        <w:tc>
          <w:tcPr/>
          <w:p>
            <w:pPr>
              <w:pStyle w:val="Compact"/>
              <w:jc w:val="right"/>
            </w:pPr>
            <w:r>
              <w:rPr>
                <w:b/>
                <w:bCs/>
                <w:lang w:val="id"/>
              </w:rPr>
              <w:t xml:space="preserve">100,0%</w:t>
            </w:r>
          </w:p>
        </w:tc>
      </w:tr>
    </w:tbl>
    <w:p>
      <w:pPr>
        <w:pStyle w:val="BodyText"/>
      </w:pPr>
      <w:r>
        <w:rPr>
          <w:b/>
          <w:bCs/>
          <w:lang w:val="id"/>
        </w:rPr>
        <w:t xml:space="preserve">Periksa:</w:t>
      </w:r>
      <w:r>
        <w:rPr>
          <w:lang w:val="id"/>
        </w:rPr>
        <w:t xml:space="preserve"> </w:t>
      </w:r>
      <w:r>
        <w:rPr>
          <w:lang w:val="id"/>
        </w:rPr>
        <w:t xml:space="preserve">jumlah</w:t>
      </w:r>
      <w:r>
        <w:rPr>
          <w:lang w:val="id"/>
        </w:rPr>
        <w:t xml:space="preserve"> </w:t>
      </w:r>
      <m:oMath>
        <m:r>
          <m:t>R</m:t>
        </m:r>
        <m:r>
          <m:t>C</m:t>
        </m:r>
      </m:oMath>
      <w:r>
        <w:rPr>
          <w:lang w:val="id"/>
        </w:rPr>
        <w:t xml:space="preserve"> </w:t>
      </w:r>
      <w:r>
        <w:rPr>
          <w:lang w:val="id"/>
        </w:rPr>
        <w:t xml:space="preserve">= 0,098454 =</w:t>
      </w:r>
      <w:r>
        <w:rPr>
          <w:lang w:val="id"/>
        </w:rPr>
        <w:t xml:space="preserve"> </w:t>
      </w:r>
      <m:oMath>
        <m:sSub>
          <m:e>
            <m:r>
              <m:t>σ</m:t>
            </m:r>
          </m:e>
          <m:sub>
            <m:r>
              <m:t>p</m:t>
            </m:r>
          </m:sub>
        </m:sSub>
      </m:oMath>
      <w:r>
        <w:rPr>
          <w:lang w:val="id"/>
        </w:rPr>
        <w:t xml:space="preserve">. ✓ Dekomposisi ini persis, bukan pendekatan.</w:t>
      </w:r>
    </w:p>
    <w:p>
      <w:pPr>
        <w:pStyle w:val="BodyText"/>
      </w:pPr>
      <w:r>
        <w:rPr>
          <w:b/>
          <w:bCs/>
          <w:lang w:val="id"/>
        </w:rPr>
        <w:t xml:space="preserve">Bacaan:</w:t>
      </w:r>
      <w:r>
        <w:rPr>
          <w:lang w:val="id"/>
        </w:rPr>
        <w:t xml:space="preserve"> </w:t>
      </w:r>
      <w:r>
        <w:rPr>
          <w:lang w:val="id"/>
        </w:rPr>
        <w:t xml:space="preserve">uang dibagi rata; risiko tidak. Saham negara maju menyumbang</w:t>
      </w:r>
      <w:r>
        <w:rPr>
          <w:lang w:val="id"/>
        </w:rPr>
        <w:t xml:space="preserve"> </w:t>
      </w:r>
      <w:r>
        <w:rPr>
          <w:b/>
          <w:bCs/>
          <w:lang w:val="id"/>
        </w:rPr>
        <w:t xml:space="preserve">enam kali lipat</w:t>
      </w:r>
      <w:r>
        <w:rPr>
          <w:lang w:val="id"/>
        </w:rPr>
        <w:t xml:space="preserve"> </w:t>
      </w:r>
      <w:r>
        <w:rPr>
          <w:lang w:val="id"/>
        </w:rPr>
        <w:t xml:space="preserve">risiko obligasi pemerintah pada bobot uang yang identik.</w:t>
      </w:r>
    </w:p>
    <w:p>
      <w:pPr>
        <w:pStyle w:val="BodyText"/>
      </w:pPr>
      <w:r>
        <w:rPr>
          <w:b/>
          <w:bCs/>
          <w:lang w:val="id"/>
        </w:rPr>
        <w:t xml:space="preserve">Langkah 3 — cari bobot paritas risiko.</w:t>
      </w:r>
      <w:r>
        <w:rPr>
          <w:lang w:val="id"/>
        </w:rPr>
        <w:t xml:space="preserve"> </w:t>
      </w:r>
      <w:r>
        <w:rPr>
          <w:lang w:val="id"/>
        </w:rPr>
        <w:t xml:space="preserve">Secara iteratif, sesuaikan bobot sampai setiap</w:t>
      </w:r>
      <w:r>
        <w:rPr>
          <w:lang w:val="id"/>
        </w:rPr>
        <w:t xml:space="preserve"> </w:t>
      </w:r>
      <m:oMath>
        <m:r>
          <m:t>R</m:t>
        </m:r>
        <m:sSub>
          <m:e>
            <m:r>
              <m:t>C</m:t>
            </m:r>
          </m:e>
          <m:sub>
            <m:r>
              <m:t>i</m:t>
            </m:r>
          </m:sub>
        </m:sSub>
        <m:r>
          <m:rPr>
            <m:sty m:val="p"/>
          </m:rPr>
          <m:t>=</m:t>
        </m:r>
        <m:sSub>
          <m:e>
            <m:r>
              <m:t>σ</m:t>
            </m:r>
          </m:e>
          <m:sub>
            <m:r>
              <m:t>p</m:t>
            </m:r>
          </m:sub>
        </m:sSub>
        <m:r>
          <m:rPr>
            <m:sty m:val="p"/>
          </m:rPr>
          <m:t>/</m:t>
        </m:r>
        <m:r>
          <m:t>5</m:t>
        </m:r>
      </m:oMath>
      <w:r>
        <w:rPr>
          <w:lang w:val="id"/>
        </w:rP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Aset</w:t>
            </w:r>
          </w:p>
        </w:tc>
        <w:tc>
          <w:tcPr/>
          <w:p>
            <w:pPr>
              <w:pStyle w:val="Compact"/>
              <w:jc w:val="right"/>
            </w:pPr>
            <w:r>
              <w:rPr>
                <w:lang w:val="id"/>
              </w:rPr>
              <w:t xml:space="preserve">Bobot paritas</w:t>
            </w:r>
          </w:p>
        </w:tc>
        <w:tc>
          <w:tcPr/>
          <w:p>
            <w:pPr>
              <w:pStyle w:val="Compact"/>
              <w:jc w:val="right"/>
            </w:pPr>
            <m:oMath>
              <m:r>
                <m:t>R</m:t>
              </m:r>
              <m:r>
                <m:t>C</m:t>
              </m:r>
            </m:oMath>
            <w:r>
              <w:rPr>
                <w:lang w:val="id"/>
              </w:rPr>
              <w:t xml:space="preserve">​</w:t>
            </w:r>
          </w:p>
        </w:tc>
        <w:tc>
          <w:tcPr/>
          <w:p>
            <w:pPr>
              <w:pStyle w:val="Compact"/>
              <w:jc w:val="right"/>
            </w:pPr>
            <w:r>
              <w:rPr>
                <w:lang w:val="id"/>
              </w:rPr>
              <w:t xml:space="preserve">%</w:t>
            </w:r>
          </w:p>
        </w:tc>
      </w:tr>
      <w:tr>
        <w:tc>
          <w:tcPr/>
          <w:p>
            <w:pPr>
              <w:pStyle w:val="Compact"/>
            </w:pPr>
            <w:r>
              <w:rPr>
                <w:lang w:val="id"/>
              </w:rPr>
              <w:t xml:space="preserve">Saham negara maju</w:t>
            </w:r>
          </w:p>
        </w:tc>
        <w:tc>
          <w:tcPr/>
          <w:p>
            <w:pPr>
              <w:pStyle w:val="Compact"/>
              <w:jc w:val="right"/>
            </w:pPr>
            <w:r>
              <w:rPr>
                <w:b/>
                <w:bCs/>
                <w:lang w:val="id"/>
              </w:rPr>
              <w:t xml:space="preserve">10,97%</w:t>
            </w:r>
          </w:p>
        </w:tc>
        <w:tc>
          <w:tcPr/>
          <w:p>
            <w:pPr>
              <w:pStyle w:val="Compact"/>
              <w:jc w:val="right"/>
            </w:pPr>
            <w:r>
              <w:rPr>
                <w:lang w:val="id"/>
              </w:rPr>
              <w:t xml:space="preserve">0,0157</w:t>
            </w:r>
          </w:p>
        </w:tc>
        <w:tc>
          <w:tcPr/>
          <w:p>
            <w:pPr>
              <w:pStyle w:val="Compact"/>
              <w:jc w:val="right"/>
            </w:pPr>
            <w:r>
              <w:rPr>
                <w:lang w:val="id"/>
              </w:rPr>
              <w:t xml:space="preserve">20,00%</w:t>
            </w:r>
          </w:p>
        </w:tc>
      </w:tr>
      <w:tr>
        <w:tc>
          <w:tcPr/>
          <w:p>
            <w:pPr>
              <w:pStyle w:val="Compact"/>
            </w:pPr>
            <w:r>
              <w:rPr>
                <w:lang w:val="id"/>
              </w:rPr>
              <w:t xml:space="preserve">Obligasi pemerintah</w:t>
            </w:r>
          </w:p>
        </w:tc>
        <w:tc>
          <w:tcPr/>
          <w:p>
            <w:pPr>
              <w:pStyle w:val="Compact"/>
              <w:jc w:val="right"/>
            </w:pPr>
            <w:r>
              <w:rPr>
                <w:b/>
                <w:bCs/>
                <w:lang w:val="id"/>
              </w:rPr>
              <w:t xml:space="preserve">34,24%</w:t>
            </w:r>
          </w:p>
        </w:tc>
        <w:tc>
          <w:tcPr/>
          <w:p>
            <w:pPr>
              <w:pStyle w:val="Compact"/>
              <w:jc w:val="right"/>
            </w:pPr>
            <w:r>
              <w:rPr>
                <w:lang w:val="id"/>
              </w:rPr>
              <w:t xml:space="preserve">0,0157</w:t>
            </w:r>
          </w:p>
        </w:tc>
        <w:tc>
          <w:tcPr/>
          <w:p>
            <w:pPr>
              <w:pStyle w:val="Compact"/>
              <w:jc w:val="right"/>
            </w:pPr>
            <w:r>
              <w:rPr>
                <w:lang w:val="id"/>
              </w:rPr>
              <w:t xml:space="preserve">20,00%</w:t>
            </w:r>
          </w:p>
        </w:tc>
      </w:tr>
      <w:tr>
        <w:tc>
          <w:tcPr/>
          <w:p>
            <w:pPr>
              <w:pStyle w:val="Compact"/>
            </w:pPr>
            <w:r>
              <w:rPr>
                <w:lang w:val="id"/>
              </w:rPr>
              <w:t xml:space="preserve">Saham negara berkembang</w:t>
            </w:r>
          </w:p>
        </w:tc>
        <w:tc>
          <w:tcPr/>
          <w:p>
            <w:pPr>
              <w:pStyle w:val="Compact"/>
              <w:jc w:val="right"/>
            </w:pPr>
            <w:r>
              <w:rPr>
                <w:lang w:val="id"/>
              </w:rPr>
              <w:t xml:space="preserve">13,15%</w:t>
            </w:r>
          </w:p>
        </w:tc>
        <w:tc>
          <w:tcPr/>
          <w:p>
            <w:pPr>
              <w:pStyle w:val="Compact"/>
              <w:jc w:val="right"/>
            </w:pPr>
            <w:r>
              <w:rPr>
                <w:lang w:val="id"/>
              </w:rPr>
              <w:t xml:space="preserve">0,0157</w:t>
            </w:r>
          </w:p>
        </w:tc>
        <w:tc>
          <w:tcPr/>
          <w:p>
            <w:pPr>
              <w:pStyle w:val="Compact"/>
              <w:jc w:val="right"/>
            </w:pPr>
            <w:r>
              <w:rPr>
                <w:lang w:val="id"/>
              </w:rPr>
              <w:t xml:space="preserve">20,00%</w:t>
            </w:r>
          </w:p>
        </w:tc>
      </w:tr>
      <w:tr>
        <w:tc>
          <w:tcPr/>
          <w:p>
            <w:pPr>
              <w:pStyle w:val="Compact"/>
            </w:pPr>
            <w:r>
              <w:rPr>
                <w:lang w:val="id"/>
              </w:rPr>
              <w:t xml:space="preserve">Properti/REIT</w:t>
            </w:r>
          </w:p>
        </w:tc>
        <w:tc>
          <w:tcPr/>
          <w:p>
            <w:pPr>
              <w:pStyle w:val="Compact"/>
              <w:jc w:val="right"/>
            </w:pPr>
            <w:r>
              <w:rPr>
                <w:lang w:val="id"/>
              </w:rPr>
              <w:t xml:space="preserve">15,43%</w:t>
            </w:r>
          </w:p>
        </w:tc>
        <w:tc>
          <w:tcPr/>
          <w:p>
            <w:pPr>
              <w:pStyle w:val="Compact"/>
              <w:jc w:val="right"/>
            </w:pPr>
            <w:r>
              <w:rPr>
                <w:lang w:val="id"/>
              </w:rPr>
              <w:t xml:space="preserve">0,0157</w:t>
            </w:r>
          </w:p>
        </w:tc>
        <w:tc>
          <w:tcPr/>
          <w:p>
            <w:pPr>
              <w:pStyle w:val="Compact"/>
              <w:jc w:val="right"/>
            </w:pPr>
            <w:r>
              <w:rPr>
                <w:lang w:val="id"/>
              </w:rPr>
              <w:t xml:space="preserve">20,00%</w:t>
            </w:r>
          </w:p>
        </w:tc>
      </w:tr>
      <w:tr>
        <w:tc>
          <w:tcPr/>
          <w:p>
            <w:pPr>
              <w:pStyle w:val="Compact"/>
            </w:pPr>
            <w:r>
              <w:rPr>
                <w:lang w:val="id"/>
              </w:rPr>
              <w:t xml:space="preserve">Kas+</w:t>
            </w:r>
          </w:p>
        </w:tc>
        <w:tc>
          <w:tcPr/>
          <w:p>
            <w:pPr>
              <w:pStyle w:val="Compact"/>
              <w:jc w:val="right"/>
            </w:pPr>
            <w:r>
              <w:rPr>
                <w:lang w:val="id"/>
              </w:rPr>
              <w:t xml:space="preserve">26,22%</w:t>
            </w:r>
          </w:p>
        </w:tc>
        <w:tc>
          <w:tcPr/>
          <w:p>
            <w:pPr>
              <w:pStyle w:val="Compact"/>
              <w:jc w:val="right"/>
            </w:pPr>
            <w:r>
              <w:rPr>
                <w:lang w:val="id"/>
              </w:rPr>
              <w:t xml:space="preserve">0,0157</w:t>
            </w:r>
          </w:p>
        </w:tc>
        <w:tc>
          <w:tcPr/>
          <w:p>
            <w:pPr>
              <w:pStyle w:val="Compact"/>
              <w:jc w:val="right"/>
            </w:pPr>
            <w:r>
              <w:rPr>
                <w:lang w:val="id"/>
              </w:rPr>
              <w:t xml:space="preserve">20,00%</w:t>
            </w:r>
          </w:p>
        </w:tc>
      </w:tr>
      <w:tr>
        <w:tc>
          <w:tcPr/>
          <w:p>
            <w:pPr>
              <w:pStyle w:val="Compact"/>
            </w:pPr>
            <w:r>
              <w:rPr>
                <w:b/>
                <w:bCs/>
                <w:lang w:val="id"/>
              </w:rPr>
              <w:t xml:space="preserve">Σ</w:t>
            </w:r>
          </w:p>
        </w:tc>
        <w:tc>
          <w:tcPr/>
          <w:p>
            <w:pPr>
              <w:pStyle w:val="Compact"/>
              <w:jc w:val="right"/>
            </w:pPr>
            <w:r>
              <w:rPr>
                <w:b/>
                <w:bCs/>
                <w:lang w:val="id"/>
              </w:rPr>
              <w:t xml:space="preserve">100,00%</w:t>
            </w:r>
          </w:p>
        </w:tc>
        <w:tc>
          <w:tcPr/>
          <w:p>
            <w:pPr>
              <w:pStyle w:val="Compact"/>
              <w:jc w:val="right"/>
            </w:pPr>
            <w:r>
              <w:rPr>
                <w:b/>
                <w:bCs/>
                <w:lang w:val="id"/>
              </w:rPr>
              <w:t xml:space="preserve">0,0783</w:t>
            </w:r>
          </w:p>
        </w:tc>
        <w:tc>
          <w:tcPr/>
          <w:p>
            <w:pPr>
              <w:pStyle w:val="Compact"/>
              <w:jc w:val="right"/>
            </w:pPr>
            <w:r>
              <w:rPr>
                <w:b/>
                <w:bCs/>
                <w:lang w:val="id"/>
              </w:rPr>
              <w:t xml:space="preserve">100,00%</w:t>
            </w:r>
          </w:p>
        </w:tc>
      </w:tr>
    </w:tbl>
    <w:p>
      <w:pPr>
        <w:pStyle w:val="BodyText"/>
      </w:pPr>
      <m:oMathPara>
        <m:oMathParaPr>
          <m:jc m:val="center"/>
        </m:oMathParaPr>
        <m:oMath>
          <m:sSub>
            <m:e>
              <m:r>
                <m:t>σ</m:t>
              </m:r>
            </m:e>
            <m:sub>
              <m:r>
                <m:t>p</m:t>
              </m:r>
            </m:sub>
          </m:sSub>
          <m:r>
            <m:rPr>
              <m:sty m:val="p"/>
            </m:rPr>
            <m:t>=</m:t>
          </m:r>
          <m:r>
            <m:rPr>
              <m:sty m:val="b"/>
            </m:rPr>
            <m:t>7</m:t>
          </m:r>
          <m:r>
            <m:rPr>
              <m:sty m:val="b"/>
            </m:rPr>
            <m:t>,</m:t>
          </m:r>
          <m:r>
            <m:rPr>
              <m:sty m:val="b"/>
            </m:rPr>
            <m:t>83</m:t>
          </m:r>
          <m:r>
            <m:rPr>
              <m:sty m:val="b"/>
            </m:rPr>
            <m:t>%</m:t>
          </m:r>
        </m:oMath>
      </m:oMathPara>
    </w:p>
    <w:p>
      <w:pPr>
        <w:pStyle w:val="FirstParagraph"/>
      </w:pPr>
      <w:r>
        <w:rPr>
          <w:b/>
          <w:bCs/>
          <w:lang w:val="id"/>
        </w:rPr>
        <w:t xml:space="preserve">Langkah 4 — ukur perbaikannya.</w:t>
      </w:r>
    </w:p>
    <w:p>
      <w:pPr>
        <w:pStyle w:val="BodyText"/>
      </w:pPr>
      <m:oMathPara>
        <m:oMathParaPr>
          <m:jc m:val="center"/>
        </m:oMathParaPr>
        <m:oMath>
          <m:r>
            <m:t>9</m:t>
          </m:r>
          <m:r>
            <m:rPr>
              <m:sty m:val="p"/>
            </m:rPr>
            <m:t>,</m:t>
          </m:r>
          <m:r>
            <m:t>85</m:t>
          </m:r>
          <m:r>
            <m:rPr>
              <m:sty m:val="p"/>
            </m:rPr>
            <m:t>%</m:t>
          </m:r>
          <m:r>
            <m:rPr>
              <m:sty m:val="p"/>
            </m:rPr>
            <m:t>−</m:t>
          </m:r>
          <m:r>
            <m:t>7</m:t>
          </m:r>
          <m:r>
            <m:rPr>
              <m:sty m:val="p"/>
            </m:rPr>
            <m:t>,</m:t>
          </m:r>
          <m:r>
            <m:t>83</m:t>
          </m:r>
          <m:r>
            <m:rPr>
              <m:sty m:val="p"/>
            </m:rPr>
            <m:t>%</m:t>
          </m:r>
          <m:r>
            <m:rPr>
              <m:sty m:val="p"/>
            </m:rPr>
            <m:t>=</m:t>
          </m:r>
          <m:r>
            <m:rPr>
              <m:sty m:val="b"/>
            </m:rPr>
            <m:t>2</m:t>
          </m:r>
          <m:r>
            <m:rPr>
              <m:sty m:val="b"/>
            </m:rPr>
            <m:t>,</m:t>
          </m:r>
          <m:r>
            <m:rPr>
              <m:sty m:val="b"/>
            </m:rPr>
            <m:t>02</m:t>
          </m:r>
          <m:r>
            <m:rPr>
              <m:sty m:val="b"/>
            </m:rPr>
            <m:t> </m:t>
          </m:r>
          <m:r>
            <m:rPr>
              <m:nor/>
              <m:sty m:val="p"/>
            </m:rPr>
            <m:t>pp</m:t>
          </m:r>
          <m:r>
            <m:t> </m:t>
          </m:r>
          <m:r>
            <m:rPr>
              <m:sty m:val="p"/>
            </m:rPr>
            <m:t>(</m:t>
          </m:r>
          <m:r>
            <m:rPr>
              <m:sty m:val="p"/>
            </m:rPr>
            <m:t>−</m:t>
          </m:r>
          <m:r>
            <m:t>20</m:t>
          </m:r>
          <m:r>
            <m:rPr>
              <m:sty m:val="p"/>
            </m:rPr>
            <m:t>,</m:t>
          </m:r>
          <m:r>
            <m:t>5</m:t>
          </m:r>
          <m:r>
            <m:rPr>
              <m:sty m:val="p"/>
            </m:rPr>
            <m:t>%</m:t>
          </m:r>
          <m:r>
            <m:t> </m:t>
          </m:r>
          <m:r>
            <m:rPr>
              <m:nor/>
              <m:sty m:val="p"/>
            </m:rPr>
            <m:t>relatif</m:t>
          </m:r>
          <m:r>
            <m:rPr>
              <m:sty m:val="p"/>
            </m:rPr>
            <m:t>)</m:t>
          </m:r>
        </m:oMath>
      </m:oMathPara>
    </w:p>
    <w:p>
      <w:pPr>
        <w:pStyle w:val="FirstParagraph"/>
      </w:pPr>
      <w:r>
        <w:rPr>
          <w:lang w:val="id"/>
        </w:rPr>
        <w:t xml:space="preserve">Diperoleh</w:t>
      </w:r>
      <w:r>
        <w:rPr>
          <w:lang w:val="id"/>
        </w:rPr>
        <w:t xml:space="preserve"> </w:t>
      </w:r>
      <w:r>
        <w:rPr>
          <w:b/>
          <w:bCs/>
          <w:lang w:val="id"/>
        </w:rPr>
        <w:t xml:space="preserve">tanpa mengestimasi satu pun imbal hasil harapan.</w:t>
      </w:r>
    </w:p>
    <w:p>
      <w:pPr>
        <w:pStyle w:val="BodyText"/>
      </w:pPr>
      <w:r>
        <w:rPr>
          <w:b/>
          <w:bCs/>
          <w:lang w:val="id"/>
        </w:rPr>
        <w:t xml:space="preserve">Langkah 5 — nyatakan biayanya dengan jujur.</w:t>
      </w:r>
      <w:r>
        <w:rPr>
          <w:lang w:val="id"/>
        </w:rPr>
        <w:t xml:space="preserve"> </w:t>
      </w:r>
      <w:r>
        <w:rPr>
          <w:lang w:val="id"/>
        </w:rPr>
        <w:t xml:space="preserve">Bobot pada dua aset dengan imbal hasil harapan terendah:</w:t>
      </w:r>
    </w:p>
    <w:p>
      <w:pPr>
        <w:pStyle w:val="BodyText"/>
      </w:pPr>
      <m:oMathPara>
        <m:oMathParaPr>
          <m:jc m:val="center"/>
        </m:oMathParaPr>
        <m:oMath>
          <m:r>
            <m:t>34</m:t>
          </m:r>
          <m:r>
            <m:rPr>
              <m:sty m:val="p"/>
            </m:rPr>
            <m:t>,</m:t>
          </m:r>
          <m:r>
            <m:t>24</m:t>
          </m:r>
          <m:r>
            <m:rPr>
              <m:sty m:val="p"/>
            </m:rPr>
            <m:t>%</m:t>
          </m:r>
          <m:r>
            <m:rPr>
              <m:sty m:val="p"/>
            </m:rPr>
            <m:t>+</m:t>
          </m:r>
          <m:r>
            <m:t>26</m:t>
          </m:r>
          <m:r>
            <m:rPr>
              <m:sty m:val="p"/>
            </m:rPr>
            <m:t>,</m:t>
          </m:r>
          <m:r>
            <m:t>22</m:t>
          </m:r>
          <m:r>
            <m:rPr>
              <m:sty m:val="p"/>
            </m:rPr>
            <m:t>%</m:t>
          </m:r>
          <m:r>
            <m:rPr>
              <m:sty m:val="p"/>
            </m:rPr>
            <m:t>=</m:t>
          </m:r>
          <m:r>
            <m:rPr>
              <m:sty m:val="b"/>
            </m:rPr>
            <m:t>60</m:t>
          </m:r>
          <m:r>
            <m:rPr>
              <m:sty m:val="b"/>
            </m:rPr>
            <m:t>,</m:t>
          </m:r>
          <m:r>
            <m:rPr>
              <m:sty m:val="b"/>
            </m:rPr>
            <m:t>46</m:t>
          </m:r>
          <m:r>
            <m:rPr>
              <m:sty m:val="b"/>
            </m:rPr>
            <m:t>%</m:t>
          </m:r>
        </m:oMath>
      </m:oMathPara>
    </w:p>
    <w:p>
      <w:pPr>
        <w:pStyle w:val="FirstParagraph"/>
      </w:pPr>
      <w:r>
        <w:rPr>
          <w:lang w:val="id"/>
        </w:rPr>
        <w:t xml:space="preserve">Portofolio ini akan memiliki imbal hasil harapan lebih rendah daripada 1/N. Paritas risiko menyeimbangkan risiko; ia tidak memaksimalkan imbal hasil.</w:t>
      </w:r>
    </w:p>
    <w:p>
      <w:pPr>
        <w:pStyle w:val="BodyText"/>
      </w:pPr>
      <w:r>
        <w:rPr>
          <w:b/>
          <w:bCs/>
          <w:lang w:val="id"/>
        </w:rPr>
        <w:t xml:space="preserve">Langkah 6 — uraikan 60/40 klasik untuk perbandingan.</w:t>
      </w:r>
      <w:r>
        <w:rPr>
          <w:lang w:val="id"/>
        </w:rPr>
        <w:t xml:space="preserve"> </w:t>
      </w:r>
      <w:r>
        <w:rPr>
          <w:lang w:val="id"/>
        </w:rPr>
        <w:t xml:space="preserve">Bobot 45% DM / 40% obligasi / 15% EM:</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Aset</w:t>
            </w:r>
          </w:p>
        </w:tc>
        <w:tc>
          <w:tcPr/>
          <w:p>
            <w:pPr>
              <w:pStyle w:val="Compact"/>
              <w:jc w:val="right"/>
            </w:pPr>
            <w:r>
              <w:rPr>
                <w:lang w:val="id"/>
              </w:rPr>
              <w:t xml:space="preserve">Bobot uang</w:t>
            </w:r>
          </w:p>
        </w:tc>
        <w:tc>
          <w:tcPr/>
          <w:p>
            <w:pPr>
              <w:pStyle w:val="Compact"/>
              <w:jc w:val="right"/>
            </w:pPr>
            <w:r>
              <w:rPr>
                <w:lang w:val="id"/>
              </w:rPr>
              <w:t xml:space="preserve">Kontribusi risiko</w:t>
            </w:r>
          </w:p>
        </w:tc>
      </w:tr>
      <w:tr>
        <w:tc>
          <w:tcPr/>
          <w:p>
            <w:pPr>
              <w:pStyle w:val="Compact"/>
            </w:pPr>
            <w:r>
              <w:rPr>
                <w:lang w:val="id"/>
              </w:rPr>
              <w:t xml:space="preserve">Saham negara maju</w:t>
            </w:r>
          </w:p>
        </w:tc>
        <w:tc>
          <w:tcPr/>
          <w:p>
            <w:pPr>
              <w:pStyle w:val="Compact"/>
              <w:jc w:val="right"/>
            </w:pPr>
            <w:r>
              <w:rPr>
                <w:lang w:val="id"/>
              </w:rPr>
              <w:t xml:space="preserve">45%</w:t>
            </w:r>
          </w:p>
        </w:tc>
        <w:tc>
          <w:tcPr/>
          <w:p>
            <w:pPr>
              <w:pStyle w:val="Compact"/>
              <w:jc w:val="right"/>
            </w:pPr>
            <w:r>
              <w:rPr>
                <w:b/>
                <w:bCs/>
                <w:lang w:val="id"/>
              </w:rPr>
              <w:t xml:space="preserve">72,9%</w:t>
            </w:r>
          </w:p>
        </w:tc>
      </w:tr>
      <w:tr>
        <w:tc>
          <w:tcPr/>
          <w:p>
            <w:pPr>
              <w:pStyle w:val="Compact"/>
            </w:pPr>
            <w:r>
              <w:rPr>
                <w:lang w:val="id"/>
              </w:rPr>
              <w:t xml:space="preserve">Obligasi pemerintah</w:t>
            </w:r>
          </w:p>
        </w:tc>
        <w:tc>
          <w:tcPr/>
          <w:p>
            <w:pPr>
              <w:pStyle w:val="Compact"/>
              <w:jc w:val="right"/>
            </w:pPr>
            <w:r>
              <w:rPr>
                <w:lang w:val="id"/>
              </w:rPr>
              <w:t xml:space="preserve">40%</w:t>
            </w:r>
          </w:p>
        </w:tc>
        <w:tc>
          <w:tcPr/>
          <w:p>
            <w:pPr>
              <w:pStyle w:val="Compact"/>
              <w:jc w:val="right"/>
            </w:pPr>
            <w:r>
              <w:rPr>
                <w:b/>
                <w:bCs/>
                <w:lang w:val="id"/>
              </w:rPr>
              <w:t xml:space="preserve">9,1%</w:t>
            </w:r>
          </w:p>
        </w:tc>
      </w:tr>
      <w:tr>
        <w:tc>
          <w:tcPr/>
          <w:p>
            <w:pPr>
              <w:pStyle w:val="Compact"/>
            </w:pPr>
            <w:r>
              <w:rPr>
                <w:lang w:val="id"/>
              </w:rPr>
              <w:t xml:space="preserve">Saham negara berkembang</w:t>
            </w:r>
          </w:p>
        </w:tc>
        <w:tc>
          <w:tcPr/>
          <w:p>
            <w:pPr>
              <w:pStyle w:val="Compact"/>
              <w:jc w:val="right"/>
            </w:pPr>
            <w:r>
              <w:rPr>
                <w:lang w:val="id"/>
              </w:rPr>
              <w:t xml:space="preserve">15%</w:t>
            </w:r>
          </w:p>
        </w:tc>
        <w:tc>
          <w:tcPr/>
          <w:p>
            <w:pPr>
              <w:pStyle w:val="Compact"/>
              <w:jc w:val="right"/>
            </w:pPr>
            <w:r>
              <w:rPr>
                <w:lang w:val="id"/>
              </w:rPr>
              <w:t xml:space="preserve">17,9%</w:t>
            </w:r>
          </w:p>
        </w:tc>
      </w:tr>
    </w:tbl>
    <w:p>
      <w:pPr>
        <w:pStyle w:val="BodyText"/>
      </w:pPr>
      <m:oMathPara>
        <m:oMathParaPr>
          <m:jc m:val="center"/>
        </m:oMathParaPr>
        <m:oMath>
          <m:sSub>
            <m:e>
              <m:r>
                <m:t>σ</m:t>
              </m:r>
            </m:e>
            <m:sub>
              <m:r>
                <m:t>p</m:t>
              </m:r>
            </m:sub>
          </m:sSub>
          <m:r>
            <m:rPr>
              <m:sty m:val="p"/>
            </m:rPr>
            <m:t>=</m:t>
          </m:r>
          <m:r>
            <m:t>11</m:t>
          </m:r>
          <m:r>
            <m:rPr>
              <m:sty m:val="p"/>
            </m:rPr>
            <m:t>,</m:t>
          </m:r>
          <m:r>
            <m:t>69</m:t>
          </m:r>
          <m:r>
            <m:rPr>
              <m:sty m:val="p"/>
            </m:rPr>
            <m:t>%</m:t>
          </m:r>
        </m:oMath>
      </m:oMathPara>
    </w:p>
    <w:p>
      <w:pPr>
        <w:pStyle w:val="FirstParagraph"/>
      </w:pPr>
      <w:r>
        <w:rPr>
          <w:b/>
          <w:bCs/>
          <w:lang w:val="id"/>
        </w:rPr>
        <w:t xml:space="preserve">Risiko ekuitas total = 72,9% + 17,9% = 90,8%.</w:t>
      </w:r>
      <w:r>
        <w:rPr>
          <w:lang w:val="id"/>
        </w:rPr>
        <w:t xml:space="preserve"> </w:t>
      </w:r>
      <w:r>
        <w:rPr>
          <w:lang w:val="id"/>
        </w:rPr>
        <w:t xml:space="preserve">Portofolio</w:t>
      </w:r>
      <w:r>
        <w:rPr>
          <w:lang w:val="id"/>
        </w:rPr>
        <w:t xml:space="preserve"> </w:t>
      </w:r>
      <w:r>
        <w:rPr>
          <w:lang w:val="id"/>
        </w:rPr>
        <w:t xml:space="preserve">“60/40”</w:t>
      </w:r>
      <w:r>
        <w:rPr>
          <w:lang w:val="id"/>
        </w:rPr>
        <w:t xml:space="preserve"> </w:t>
      </w:r>
      <w:r>
        <w:rPr>
          <w:lang w:val="id"/>
        </w:rPr>
        <w:t xml:space="preserve">adalah</w:t>
      </w:r>
      <w:r>
        <w:rPr>
          <w:lang w:val="id"/>
        </w:rPr>
        <w:t xml:space="preserve"> </w:t>
      </w:r>
      <w:r>
        <w:rPr>
          <w:b/>
          <w:bCs/>
          <w:lang w:val="id"/>
        </w:rPr>
        <w:t xml:space="preserve">90,8/9,1 dalam risiko.</w:t>
      </w:r>
    </w:p>
    <w:p>
      <w:r>
        <w:pict>
          <v:rect style="width:0;height:1.5pt" o:hralign="center" o:hrstd="t" o:hr="t"/>
        </w:pict>
      </w:r>
    </w:p>
    <w:bookmarkEnd w:id="21"/>
    <w:bookmarkStart w:id="22" w:name="contoh-2-penyusutan-estimasi"/>
    <w:p>
      <w:pPr>
        <w:pStyle w:val="Heading3"/>
      </w:pPr>
      <w:r>
        <w:rPr>
          <w:lang w:val="id"/>
        </w:rPr>
        <w:t xml:space="preserve">Contoh 2 — Penyusutan estimasi</w:t>
      </w:r>
    </w:p>
    <w:p>
      <w:pPr>
        <w:pStyle w:val="FirstParagraph"/>
      </w:pPr>
      <w:r>
        <w:rPr>
          <w:b/>
          <w:bCs/>
          <w:lang w:val="id"/>
        </w:rPr>
        <w:t xml:space="preserve">Langkah 1 — rancangan.</w:t>
      </w:r>
      <w:r>
        <w:rPr>
          <w:lang w:val="id"/>
        </w:rPr>
        <w:t xml:space="preserve"> </w:t>
      </w:r>
      <w:r>
        <w:rPr>
          <w:lang w:val="id"/>
        </w:rPr>
        <w:t xml:space="preserve">Lima aset dengan imbal hasil harapan sejati yang diketahui. Estimasi dari 10 tahun data. Terapkan penyusutan pada berbagai intensitas. Ukur MSE terhadap nilai sejati. 8.000 percobaan.</w:t>
      </w:r>
    </w:p>
    <w:p>
      <w:pPr>
        <w:pStyle w:val="BodyText"/>
      </w:pPr>
      <m:oMathPara>
        <m:oMathParaPr>
          <m:jc m:val="center"/>
        </m:oMathParaPr>
        <m:oMath>
          <m:sSubSup>
            <m:e>
              <m:acc>
                <m:accPr>
                  <m:chr m:val="̂"/>
                </m:accPr>
                <m:e>
                  <m:r>
                    <m:t>μ</m:t>
                  </m:r>
                </m:e>
              </m:acc>
            </m:e>
            <m:sub>
              <m:r>
                <m:t>i</m:t>
              </m:r>
            </m:sub>
            <m:sup>
              <m:r>
                <m:rPr>
                  <m:nor/>
                  <m:sty m:val="p"/>
                </m:rPr>
                <m:t>susut</m:t>
              </m:r>
            </m:sup>
          </m:sSubSup>
          <m:r>
            <m:rPr>
              <m:sty m:val="p"/>
            </m:rPr>
            <m:t>=</m:t>
          </m:r>
          <m:r>
            <m:rPr>
              <m:sty m:val="p"/>
            </m:rPr>
            <m:t>(</m:t>
          </m:r>
          <m:r>
            <m:t>1</m:t>
          </m:r>
          <m:r>
            <m:rPr>
              <m:sty m:val="p"/>
            </m:rPr>
            <m:t>−</m:t>
          </m:r>
          <m:r>
            <m:t>δ</m:t>
          </m:r>
          <m:r>
            <m:rPr>
              <m:sty m:val="p"/>
            </m:rPr>
            <m:t>)</m:t>
          </m:r>
          <m:sSub>
            <m:e>
              <m:acc>
                <m:accPr>
                  <m:chr m:val="̂"/>
                </m:accPr>
                <m:e>
                  <m:r>
                    <m:t>μ</m:t>
                  </m:r>
                </m:e>
              </m:acc>
            </m:e>
            <m:sub>
              <m:r>
                <m:t>i</m:t>
              </m:r>
            </m:sub>
          </m:sSub>
          <m:r>
            <m:rPr>
              <m:sty m:val="p"/>
            </m:rPr>
            <m:t>+</m:t>
          </m:r>
          <m:r>
            <m:t>δ</m:t>
          </m:r>
          <m:acc>
            <m:accPr>
              <m:chr m:val="‾"/>
            </m:accPr>
            <m:e>
              <m:r>
                <m:t>μ</m:t>
              </m:r>
            </m:e>
          </m:acc>
        </m:oMath>
      </m:oMathPara>
    </w:p>
    <w:p>
      <w:pPr>
        <w:pStyle w:val="FirstParagraph"/>
      </w:pPr>
      <w:r>
        <w:rPr>
          <w:b/>
          <w:bCs/>
          <w:lang w:val="id"/>
        </w:rPr>
        <w:t xml:space="preserve">Langkah 2 — hasil.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δ</m:t>
              </m:r>
            </m:oMath>
            <w:r>
              <w:rPr>
                <w:lang w:val="id"/>
              </w:rPr>
              <w:t xml:space="preserve">​</w:t>
            </w:r>
          </w:p>
        </w:tc>
        <w:tc>
          <w:tcPr/>
          <w:p>
            <w:pPr>
              <w:pStyle w:val="Compact"/>
              <w:jc w:val="right"/>
            </w:pPr>
            <w:r>
              <w:rPr>
                <w:lang w:val="id"/>
              </w:rPr>
              <w:t xml:space="preserve">MSE</w:t>
            </w:r>
          </w:p>
        </w:tc>
        <w:tc>
          <w:tcPr/>
          <w:p>
            <w:pPr>
              <w:pStyle w:val="Compact"/>
              <w:jc w:val="right"/>
            </w:pPr>
            <w:r>
              <w:rPr>
                <w:lang w:val="id"/>
              </w:rPr>
              <w:t xml:space="preserve">RMSE</w:t>
            </w:r>
          </w:p>
        </w:tc>
        <w:tc>
          <w:tcPr/>
          <w:p>
            <w:pPr>
              <w:pStyle w:val="Compact"/>
              <w:jc w:val="right"/>
            </w:pPr>
            <w:r>
              <w:rPr>
                <w:lang w:val="id"/>
              </w:rPr>
              <w:t xml:space="preserve">Perubahan vs</w:t>
            </w:r>
            <w:r>
              <w:rPr>
                <w:lang w:val="id"/>
              </w:rPr>
              <w:t xml:space="preserve"> </w:t>
            </w:r>
            <m:oMath>
              <m:r>
                <m:t>δ</m:t>
              </m:r>
              <m:r>
                <m:rPr>
                  <m:sty m:val="p"/>
                </m:rPr>
                <m:t>=</m:t>
              </m:r>
              <m:r>
                <m:t>0</m:t>
              </m:r>
            </m:oMath>
          </w:p>
        </w:tc>
      </w:tr>
      <w:tr>
        <w:tc>
          <w:tcPr/>
          <w:p>
            <w:pPr>
              <w:pStyle w:val="Compact"/>
              <w:jc w:val="right"/>
            </w:pPr>
            <w:r>
              <w:rPr>
                <w:lang w:val="id"/>
              </w:rPr>
              <w:t xml:space="preserve">0,0</w:t>
            </w:r>
          </w:p>
        </w:tc>
        <w:tc>
          <w:tcPr/>
          <w:p>
            <w:pPr>
              <w:pStyle w:val="Compact"/>
              <w:jc w:val="right"/>
            </w:pPr>
            <w:r>
              <w:rPr>
                <w:lang w:val="id"/>
              </w:rPr>
              <w:t xml:space="preserve">0,002152</w:t>
            </w:r>
          </w:p>
        </w:tc>
        <w:tc>
          <w:tcPr/>
          <w:p>
            <w:pPr>
              <w:pStyle w:val="Compact"/>
              <w:jc w:val="right"/>
            </w:pPr>
            <w:r>
              <w:rPr>
                <w:lang w:val="id"/>
              </w:rPr>
              <w:t xml:space="preserve">4,64 pp</w:t>
            </w:r>
          </w:p>
        </w:tc>
        <w:tc>
          <w:tcPr/>
          <w:p>
            <w:pPr>
              <w:pStyle w:val="Compact"/>
              <w:jc w:val="right"/>
            </w:pPr>
            <w:r>
              <w:rPr>
                <w:lang w:val="id"/>
              </w:rPr>
              <w:t xml:space="preserve">—</w:t>
            </w:r>
          </w:p>
        </w:tc>
      </w:tr>
      <w:tr>
        <w:tc>
          <w:tcPr/>
          <w:p>
            <w:pPr>
              <w:pStyle w:val="Compact"/>
              <w:jc w:val="right"/>
            </w:pPr>
            <w:r>
              <w:rPr>
                <w:lang w:val="id"/>
              </w:rPr>
              <w:t xml:space="preserve">0,2</w:t>
            </w:r>
          </w:p>
        </w:tc>
        <w:tc>
          <w:tcPr/>
          <w:p>
            <w:pPr>
              <w:pStyle w:val="Compact"/>
              <w:jc w:val="right"/>
            </w:pPr>
            <w:r>
              <w:rPr>
                <w:lang w:val="id"/>
              </w:rPr>
              <w:t xml:space="preserve">0,001715</w:t>
            </w:r>
          </w:p>
        </w:tc>
        <w:tc>
          <w:tcPr/>
          <w:p>
            <w:pPr>
              <w:pStyle w:val="Compact"/>
              <w:jc w:val="right"/>
            </w:pPr>
            <w:r>
              <w:rPr>
                <w:lang w:val="id"/>
              </w:rPr>
              <w:t xml:space="preserve">4,14 pp</w:t>
            </w:r>
          </w:p>
        </w:tc>
        <w:tc>
          <w:tcPr/>
          <w:p>
            <w:pPr>
              <w:pStyle w:val="Compact"/>
              <w:jc w:val="right"/>
            </w:pPr>
            <w:r>
              <w:rPr>
                <w:lang w:val="id"/>
              </w:rPr>
              <w:t xml:space="preserve">−20,3%</w:t>
            </w:r>
          </w:p>
        </w:tc>
      </w:tr>
      <w:tr>
        <w:tc>
          <w:tcPr/>
          <w:p>
            <w:pPr>
              <w:pStyle w:val="Compact"/>
              <w:jc w:val="right"/>
            </w:pPr>
            <w:r>
              <w:rPr>
                <w:lang w:val="id"/>
              </w:rPr>
              <w:t xml:space="preserve">0,4</w:t>
            </w:r>
          </w:p>
        </w:tc>
        <w:tc>
          <w:tcPr/>
          <w:p>
            <w:pPr>
              <w:pStyle w:val="Compact"/>
              <w:jc w:val="right"/>
            </w:pPr>
            <w:r>
              <w:rPr>
                <w:lang w:val="id"/>
              </w:rPr>
              <w:t xml:space="preserve">0,001446</w:t>
            </w:r>
          </w:p>
        </w:tc>
        <w:tc>
          <w:tcPr/>
          <w:p>
            <w:pPr>
              <w:pStyle w:val="Compact"/>
              <w:jc w:val="right"/>
            </w:pPr>
            <w:r>
              <w:rPr>
                <w:lang w:val="id"/>
              </w:rPr>
              <w:t xml:space="preserve">3,80 pp</w:t>
            </w:r>
          </w:p>
        </w:tc>
        <w:tc>
          <w:tcPr/>
          <w:p>
            <w:pPr>
              <w:pStyle w:val="Compact"/>
              <w:jc w:val="right"/>
            </w:pPr>
            <w:r>
              <w:rPr>
                <w:lang w:val="id"/>
              </w:rPr>
              <w:t xml:space="preserve">−32,8%</w:t>
            </w:r>
          </w:p>
        </w:tc>
      </w:tr>
      <w:tr>
        <w:tc>
          <w:tcPr/>
          <w:p>
            <w:pPr>
              <w:pStyle w:val="Compact"/>
              <w:jc w:val="right"/>
            </w:pPr>
            <w:r>
              <w:rPr>
                <w:lang w:val="id"/>
              </w:rPr>
              <w:t xml:space="preserve">0,6</w:t>
            </w:r>
          </w:p>
        </w:tc>
        <w:tc>
          <w:tcPr/>
          <w:p>
            <w:pPr>
              <w:pStyle w:val="Compact"/>
              <w:jc w:val="right"/>
            </w:pPr>
            <w:r>
              <w:rPr>
                <w:lang w:val="id"/>
              </w:rPr>
              <w:t xml:space="preserve">0,001320</w:t>
            </w:r>
          </w:p>
        </w:tc>
        <w:tc>
          <w:tcPr/>
          <w:p>
            <w:pPr>
              <w:pStyle w:val="Compact"/>
              <w:jc w:val="right"/>
            </w:pPr>
            <w:r>
              <w:rPr>
                <w:lang w:val="id"/>
              </w:rPr>
              <w:t xml:space="preserve">3,63 pp</w:t>
            </w:r>
          </w:p>
        </w:tc>
        <w:tc>
          <w:tcPr/>
          <w:p>
            <w:pPr>
              <w:pStyle w:val="Compact"/>
              <w:jc w:val="right"/>
            </w:pPr>
            <w:r>
              <w:rPr>
                <w:lang w:val="id"/>
              </w:rPr>
              <w:t xml:space="preserve">−38,7%</w:t>
            </w:r>
          </w:p>
        </w:tc>
      </w:tr>
      <w:tr>
        <w:tc>
          <w:tcPr/>
          <w:p>
            <w:pPr>
              <w:pStyle w:val="Compact"/>
              <w:jc w:val="right"/>
            </w:pPr>
            <w:r>
              <w:rPr>
                <w:b/>
                <w:bCs/>
                <w:lang w:val="id"/>
              </w:rPr>
              <w:t xml:space="preserve">0,8</w:t>
            </w:r>
          </w:p>
        </w:tc>
        <w:tc>
          <w:tcPr/>
          <w:p>
            <w:pPr>
              <w:pStyle w:val="Compact"/>
              <w:jc w:val="right"/>
            </w:pPr>
            <w:r>
              <w:rPr>
                <w:b/>
                <w:bCs/>
                <w:lang w:val="id"/>
              </w:rPr>
              <w:t xml:space="preserve">0,001313</w:t>
            </w:r>
          </w:p>
        </w:tc>
        <w:tc>
          <w:tcPr/>
          <w:p>
            <w:pPr>
              <w:pStyle w:val="Compact"/>
              <w:jc w:val="right"/>
            </w:pPr>
            <w:r>
              <w:rPr>
                <w:b/>
                <w:bCs/>
                <w:lang w:val="id"/>
              </w:rPr>
              <w:t xml:space="preserve">3,62 pp</w:t>
            </w:r>
          </w:p>
        </w:tc>
        <w:tc>
          <w:tcPr/>
          <w:p>
            <w:pPr>
              <w:pStyle w:val="Compact"/>
              <w:jc w:val="right"/>
            </w:pPr>
            <w:r>
              <w:rPr>
                <w:b/>
                <w:bCs/>
                <w:lang w:val="id"/>
              </w:rPr>
              <w:t xml:space="preserve">−39,0%</w:t>
            </w:r>
          </w:p>
        </w:tc>
      </w:tr>
      <w:tr>
        <w:tc>
          <w:tcPr/>
          <w:p>
            <w:pPr>
              <w:pStyle w:val="Compact"/>
              <w:jc w:val="right"/>
            </w:pPr>
            <w:r>
              <w:rPr>
                <w:lang w:val="id"/>
              </w:rPr>
              <w:t xml:space="preserve">1,0</w:t>
            </w:r>
          </w:p>
        </w:tc>
        <w:tc>
          <w:tcPr/>
          <w:p>
            <w:pPr>
              <w:pStyle w:val="Compact"/>
              <w:jc w:val="right"/>
            </w:pPr>
            <w:r>
              <w:rPr>
                <w:lang w:val="id"/>
              </w:rPr>
              <w:t xml:space="preserve">0,001475</w:t>
            </w:r>
          </w:p>
        </w:tc>
        <w:tc>
          <w:tcPr/>
          <w:p>
            <w:pPr>
              <w:pStyle w:val="Compact"/>
              <w:jc w:val="right"/>
            </w:pPr>
            <w:r>
              <w:rPr>
                <w:lang w:val="id"/>
              </w:rPr>
              <w:t xml:space="preserve">3,84 pp</w:t>
            </w:r>
          </w:p>
        </w:tc>
        <w:tc>
          <w:tcPr/>
          <w:p>
            <w:pPr>
              <w:pStyle w:val="Compact"/>
              <w:jc w:val="right"/>
            </w:pPr>
            <w:r>
              <w:rPr>
                <w:lang w:val="id"/>
              </w:rPr>
              <w:t xml:space="preserve">−31,5%</w:t>
            </w:r>
          </w:p>
        </w:tc>
      </w:tr>
    </w:tbl>
    <w:p>
      <w:pPr>
        <w:pStyle w:val="BodyText"/>
      </w:pPr>
      <w:r>
        <w:rPr>
          <w:b/>
          <w:bCs/>
          <w:lang w:val="id"/>
        </w:rPr>
        <w:t xml:space="preserve">Langkah 3 — baca baris</w:t>
      </w:r>
      <w:r>
        <w:rPr>
          <w:b/>
          <w:bCs/>
          <w:lang w:val="id"/>
        </w:rPr>
        <w:t xml:space="preserve"> </w:t>
      </w:r>
      <m:oMath>
        <m:r>
          <m:t>δ</m:t>
        </m:r>
        <m:r>
          <m:rPr>
            <m:sty m:val="p"/>
          </m:rPr>
          <m:t>=</m:t>
        </m:r>
        <m:r>
          <m:t>0</m:t>
        </m:r>
      </m:oMath>
      <w:r>
        <w:rPr>
          <w:b/>
          <w:bCs/>
          <w:lang w:val="id"/>
        </w:rPr>
        <w:t xml:space="preserve">.</w:t>
      </w:r>
      <w:r>
        <w:rPr>
          <w:lang w:val="id"/>
        </w:rPr>
        <w:t xml:space="preserve"> </w:t>
      </w:r>
      <w:r>
        <w:rPr>
          <w:lang w:val="id"/>
        </w:rPr>
        <w:t xml:space="preserve">RMSE</w:t>
      </w:r>
      <w:r>
        <w:rPr>
          <w:lang w:val="id"/>
        </w:rPr>
        <w:t xml:space="preserve"> </w:t>
      </w:r>
      <w:r>
        <w:rPr>
          <w:b/>
          <w:bCs/>
          <w:lang w:val="id"/>
        </w:rPr>
        <w:t xml:space="preserve">4,64 pp</w:t>
      </w:r>
      <w:r>
        <w:rPr>
          <w:lang w:val="id"/>
        </w:rPr>
        <w:t xml:space="preserve"> </w:t>
      </w:r>
      <w:r>
        <w:rPr>
          <w:lang w:val="id"/>
        </w:rPr>
        <w:t xml:space="preserve">untuk estimasi imbal hasil harapan. Bila imbal hasil harapan sejati berkisar 5,5%–11,5%, galat tipikal 4,64 pp berarti estimasi Anda</w:t>
      </w:r>
      <w:r>
        <w:rPr>
          <w:lang w:val="id"/>
        </w:rPr>
        <w:t xml:space="preserve"> </w:t>
      </w:r>
      <w:r>
        <w:rPr>
          <w:b/>
          <w:bCs/>
          <w:lang w:val="id"/>
        </w:rPr>
        <w:t xml:space="preserve">tidak dapat membedakan aset dengan imbal hasil harapan tertinggi dari yang terendah.</w:t>
      </w:r>
    </w:p>
    <w:p>
      <w:pPr>
        <w:pStyle w:val="BodyText"/>
      </w:pPr>
      <w:r>
        <w:rPr>
          <w:b/>
          <w:bCs/>
          <w:lang w:val="id"/>
        </w:rPr>
        <w:t xml:space="preserve">Langkah 4 — baca baris</w:t>
      </w:r>
      <w:r>
        <w:rPr>
          <w:b/>
          <w:bCs/>
          <w:lang w:val="id"/>
        </w:rPr>
        <w:t xml:space="preserve"> </w:t>
      </w:r>
      <m:oMath>
        <m:r>
          <m:t>δ</m:t>
        </m:r>
        <m:r>
          <m:rPr>
            <m:sty m:val="p"/>
          </m:rPr>
          <m:t>=</m:t>
        </m:r>
        <m:r>
          <m:t>0</m:t>
        </m:r>
        <m:r>
          <m:rPr>
            <m:sty m:val="p"/>
          </m:rPr>
          <m:t>,</m:t>
        </m:r>
        <m:r>
          <m:t>8</m:t>
        </m:r>
      </m:oMath>
      <w:r>
        <w:rPr>
          <w:b/>
          <w:bCs/>
          <w:lang w:val="id"/>
        </w:rPr>
        <w:t xml:space="preserve">.</w:t>
      </w:r>
      <w:r>
        <w:rPr>
          <w:lang w:val="id"/>
        </w:rPr>
        <w:t xml:space="preserve"> </w:t>
      </w:r>
      <w:r>
        <w:rPr>
          <w:lang w:val="id"/>
        </w:rPr>
        <w:t xml:space="preserve">Intensitas optimal memberi bobot hanya</w:t>
      </w:r>
      <w:r>
        <w:rPr>
          <w:lang w:val="id"/>
        </w:rPr>
        <w:t xml:space="preserve"> </w:t>
      </w:r>
      <w:r>
        <w:rPr>
          <w:b/>
          <w:bCs/>
          <w:lang w:val="id"/>
        </w:rPr>
        <w:t xml:space="preserve">20%</w:t>
      </w:r>
      <w:r>
        <w:rPr>
          <w:lang w:val="id"/>
        </w:rPr>
        <w:t xml:space="preserve"> </w:t>
      </w:r>
      <w:r>
        <w:rPr>
          <w:lang w:val="id"/>
        </w:rPr>
        <w:t xml:space="preserve">pada data historis aset itu sendiri. Delapan puluh persen keyakinan berasal dari rata-rata lintas aset.</w:t>
      </w:r>
    </w:p>
    <w:p>
      <w:pPr>
        <w:pStyle w:val="BodyText"/>
      </w:pPr>
      <w:r>
        <w:rPr>
          <w:b/>
          <w:bCs/>
          <w:lang w:val="id"/>
        </w:rPr>
        <w:t xml:space="preserve">Langkah 5 — baca baris</w:t>
      </w:r>
      <w:r>
        <w:rPr>
          <w:b/>
          <w:bCs/>
          <w:lang w:val="id"/>
        </w:rPr>
        <w:t xml:space="preserve"> </w:t>
      </w:r>
      <m:oMath>
        <m:r>
          <m:t>δ</m:t>
        </m:r>
        <m:r>
          <m:rPr>
            <m:sty m:val="p"/>
          </m:rPr>
          <m:t>=</m:t>
        </m:r>
        <m:r>
          <m:t>1</m:t>
        </m:r>
        <m:r>
          <m:rPr>
            <m:sty m:val="p"/>
          </m:rPr>
          <m:t>,</m:t>
        </m:r>
        <m:r>
          <m:t>0</m:t>
        </m:r>
      </m:oMath>
      <w:r>
        <w:rPr>
          <w:b/>
          <w:bCs/>
          <w:lang w:val="id"/>
        </w:rPr>
        <w:t xml:space="preserve">, dan renungkan.</w:t>
      </w:r>
      <w:r>
        <w:rPr>
          <w:lang w:val="id"/>
        </w:rPr>
        <w:t xml:space="preserve"> </w:t>
      </w:r>
      <w:r>
        <w:rPr>
          <w:lang w:val="id"/>
        </w:rPr>
        <w:t xml:space="preserve">Mengabaikan data historis</w:t>
      </w:r>
      <w:r>
        <w:rPr>
          <w:lang w:val="id"/>
        </w:rPr>
        <w:t xml:space="preserve"> </w:t>
      </w:r>
      <w:r>
        <w:rPr>
          <w:b/>
          <w:bCs/>
          <w:lang w:val="id"/>
        </w:rPr>
        <w:t xml:space="preserve">sepenuhnya</w:t>
      </w:r>
      <w:r>
        <w:rPr>
          <w:lang w:val="id"/>
        </w:rPr>
        <w:t xml:space="preserve"> </w:t>
      </w:r>
      <w:r>
        <w:rPr>
          <w:lang w:val="id"/>
        </w:rPr>
        <w:t xml:space="preserve">— memberi setiap aset imbal hasil harapan yang sama — menghasilkan estimasi</w:t>
      </w:r>
      <w:r>
        <w:rPr>
          <w:lang w:val="id"/>
        </w:rPr>
        <w:t xml:space="preserve"> </w:t>
      </w:r>
      <w:r>
        <w:rPr>
          <w:b/>
          <w:bCs/>
          <w:lang w:val="id"/>
        </w:rPr>
        <w:t xml:space="preserve">31,5% lebih akurat</w:t>
      </w:r>
      <w:r>
        <w:rPr>
          <w:lang w:val="id"/>
        </w:rPr>
        <w:t xml:space="preserve"> </w:t>
      </w:r>
      <w:r>
        <w:rPr>
          <w:lang w:val="id"/>
        </w:rPr>
        <w:t xml:space="preserve">daripada menggunakan rata-rata historis masing-masing aset.</w:t>
      </w:r>
    </w:p>
    <w:p>
      <w:pPr>
        <w:pStyle w:val="BodyText"/>
      </w:pPr>
      <w:r>
        <w:rPr>
          <w:b/>
          <w:bCs/>
          <w:lang w:val="id"/>
        </w:rPr>
        <w:t xml:space="preserve">Langkah 6 — kesimpulan operasional.</w:t>
      </w:r>
      <w:r>
        <w:rPr>
          <w:lang w:val="id"/>
        </w:rPr>
        <w:t xml:space="preserve"> </w:t>
      </w:r>
      <w:r>
        <w:rPr>
          <w:lang w:val="id"/>
        </w:rPr>
        <w:t xml:space="preserve">Rata-rata historis sepuluh tahun memuat sangat sedikit informasi tentang imbal hasil harapan. Ia memuat</w:t>
      </w:r>
      <w:r>
        <w:rPr>
          <w:lang w:val="id"/>
        </w:rPr>
        <w:t xml:space="preserve"> </w:t>
      </w:r>
      <w:r>
        <w:rPr>
          <w:b/>
          <w:bCs/>
          <w:lang w:val="id"/>
        </w:rPr>
        <w:t xml:space="preserve">sebagian</w:t>
      </w:r>
      <w:r>
        <w:rPr>
          <w:lang w:val="id"/>
        </w:rPr>
        <w:t xml:space="preserve"> </w:t>
      </w:r>
      <w:r>
        <w:rPr>
          <w:lang w:val="id"/>
        </w:rPr>
        <w:t xml:space="preserve">— karena</w:t>
      </w:r>
      <w:r>
        <w:rPr>
          <w:lang w:val="id"/>
        </w:rPr>
        <w:t xml:space="preserve"> </w:t>
      </w:r>
      <m:oMath>
        <m:r>
          <m:t>δ</m:t>
        </m:r>
        <m:r>
          <m:rPr>
            <m:sty m:val="p"/>
          </m:rPr>
          <m:t>=</m:t>
        </m:r>
        <m:r>
          <m:t>0</m:t>
        </m:r>
        <m:r>
          <m:rPr>
            <m:sty m:val="p"/>
          </m:rPr>
          <m:t>,</m:t>
        </m:r>
        <m:r>
          <m:t>8</m:t>
        </m:r>
      </m:oMath>
      <w:r>
        <w:rPr>
          <w:lang w:val="id"/>
        </w:rPr>
        <w:t xml:space="preserve"> </w:t>
      </w:r>
      <w:r>
        <w:rPr>
          <w:lang w:val="id"/>
        </w:rPr>
        <w:t xml:space="preserve">mengalahkan</w:t>
      </w:r>
      <w:r>
        <w:rPr>
          <w:lang w:val="id"/>
        </w:rPr>
        <w:t xml:space="preserve"> </w:t>
      </w:r>
      <m:oMath>
        <m:r>
          <m:t>δ</m:t>
        </m:r>
        <m:r>
          <m:rPr>
            <m:sty m:val="p"/>
          </m:rPr>
          <m:t>=</m:t>
        </m:r>
        <m:r>
          <m:t>1</m:t>
        </m:r>
        <m:r>
          <m:rPr>
            <m:sty m:val="p"/>
          </m:rPr>
          <m:t>,</m:t>
        </m:r>
        <m:r>
          <m:t>0</m:t>
        </m:r>
      </m:oMath>
      <w:r>
        <w:rPr>
          <w:lang w:val="id"/>
        </w:rPr>
        <w:t xml:space="preserve"> </w:t>
      </w:r>
      <w:r>
        <w:rPr>
          <w:lang w:val="id"/>
        </w:rPr>
        <w:t xml:space="preserve">— tetapi jauh lebih sedikit daripada yang diasumsikan hampir semua orang yang memakainya.</w:t>
      </w:r>
    </w:p>
    <w:p>
      <w:pPr>
        <w:pStyle w:val="BodyText"/>
      </w:pPr>
      <w:r>
        <w:rPr>
          <w:lang w:val="id"/>
        </w:rPr>
        <w:t xml:space="preserve">Ini memperkuat, dari arah yang berbeda, temuan L3.1 §4.5 bahwa 1/N mengalahkan optimasi keluar-sampel.</w:t>
      </w:r>
    </w:p>
    <w:p>
      <w:r>
        <w:pict>
          <v:rect style="width:0;height:1.5pt" o:hralign="center" o:hrstd="t" o:hr="t"/>
        </w:pict>
      </w:r>
    </w:p>
    <w:bookmarkEnd w:id="22"/>
    <w:bookmarkStart w:id="23" w:name="X387e98409226d2ed5629f5e53a36e58f41e2064"/>
    <w:p>
      <w:pPr>
        <w:pStyle w:val="Heading3"/>
      </w:pPr>
      <w:r>
        <w:rPr>
          <w:lang w:val="id"/>
        </w:rPr>
        <w:t xml:space="preserve">Contoh 3 — Optimasi balik dan imbal hasil ekuilibrium tersirat</w:t>
      </w:r>
    </w:p>
    <w:p>
      <w:pPr>
        <w:pStyle w:val="FirstParagraph"/>
      </w:pPr>
      <w:r>
        <w:rPr>
          <w:b/>
          <w:bCs/>
          <w:lang w:val="id"/>
        </w:rPr>
        <w:t xml:space="preserve">Langkah 1 — tetapkan portofolio pasar.</w:t>
      </w:r>
      <w:r>
        <w:rPr>
          <w:lang w:val="id"/>
        </w:rPr>
        <w:t xml:space="preserve"> </w:t>
      </w:r>
      <w:r>
        <w:rPr>
          <w:lang w:val="id"/>
        </w:rPr>
        <w:t xml:space="preserve">Bobot 40% / 30% / 10% / 12% / 8% pada kelima kelas aset Contoh 1.</w:t>
      </w:r>
    </w:p>
    <w:p>
      <w:pPr>
        <w:pStyle w:val="BodyText"/>
      </w:pPr>
      <w:r>
        <w:rPr>
          <w:b/>
          <w:bCs/>
          <w:lang w:val="id"/>
        </w:rPr>
        <w:t xml:space="preserve">Langkah 2 — hitung volatilitasnya.</w:t>
      </w:r>
    </w:p>
    <w:p>
      <w:pPr>
        <w:pStyle w:val="BodyText"/>
      </w:pPr>
      <m:oMathPara>
        <m:oMathParaPr>
          <m:jc m:val="center"/>
        </m:oMathParaPr>
        <m:oMath>
          <m:sSub>
            <m:e>
              <m:r>
                <m:t>σ</m:t>
              </m:r>
            </m:e>
            <m:sub>
              <m:r>
                <m:t>m</m:t>
              </m:r>
            </m:sub>
          </m:sSub>
          <m:r>
            <m:rPr>
              <m:sty m:val="p"/>
            </m:rPr>
            <m:t>=</m:t>
          </m:r>
          <m:r>
            <m:rPr>
              <m:sty m:val="b"/>
            </m:rPr>
            <m:t>11</m:t>
          </m:r>
          <m:r>
            <m:rPr>
              <m:sty m:val="b"/>
            </m:rPr>
            <m:t>,</m:t>
          </m:r>
          <m:r>
            <m:rPr>
              <m:sty m:val="b"/>
            </m:rPr>
            <m:t>13</m:t>
          </m:r>
          <m:r>
            <m:rPr>
              <m:sty m:val="b"/>
            </m:rPr>
            <m:t>%</m:t>
          </m:r>
        </m:oMath>
      </m:oMathPara>
    </w:p>
    <w:p>
      <w:pPr>
        <w:pStyle w:val="FirstParagraph"/>
      </w:pPr>
      <w:r>
        <w:rPr>
          <w:b/>
          <w:bCs/>
          <w:lang w:val="id"/>
        </w:rPr>
        <w:t xml:space="preserve">Langkah 3 — tetapkan koefisien keengganan risiko.</w:t>
      </w:r>
      <w:r>
        <w:rPr>
          <w:lang w:val="id"/>
        </w:rPr>
        <w:t xml:space="preserve"> </w:t>
      </w:r>
      <w:r>
        <w:rPr>
          <w:lang w:val="id"/>
        </w:rPr>
        <w:t xml:space="preserve">Dengan premi pasar yang diasumsikan 3,47% atas kas:</w:t>
      </w:r>
    </w:p>
    <w:p>
      <w:pPr>
        <w:pStyle w:val="BodyText"/>
      </w:pPr>
      <m:oMathPara>
        <m:oMathParaPr>
          <m:jc m:val="center"/>
        </m:oMathParaPr>
        <m:oMath>
          <m:r>
            <m:t>λ</m:t>
          </m:r>
          <m:r>
            <m:rPr>
              <m:sty m:val="p"/>
            </m:rPr>
            <m:t>=</m:t>
          </m:r>
          <m:f>
            <m:fPr>
              <m:type m:val="bar"/>
            </m:fPr>
            <m:num>
              <m:sSub>
                <m:e>
                  <m:r>
                    <m:t>μ</m:t>
                  </m:r>
                </m:e>
                <m:sub>
                  <m:r>
                    <m:t>m</m:t>
                  </m:r>
                </m:sub>
              </m:sSub>
              <m:r>
                <m:rPr>
                  <m:sty m:val="p"/>
                </m:rPr>
                <m:t>−</m:t>
              </m:r>
              <m:sSub>
                <m:e>
                  <m:r>
                    <m:t>r</m:t>
                  </m:r>
                </m:e>
                <m:sub>
                  <m:r>
                    <m:t>f</m:t>
                  </m:r>
                </m:sub>
              </m:sSub>
            </m:num>
            <m:den>
              <m:sSubSup>
                <m:e>
                  <m:r>
                    <m:t>σ</m:t>
                  </m:r>
                </m:e>
                <m:sub>
                  <m:r>
                    <m:t>m</m:t>
                  </m:r>
                </m:sub>
                <m:sup>
                  <m:r>
                    <m:t>2</m:t>
                  </m:r>
                </m:sup>
              </m:sSubSup>
            </m:den>
          </m:f>
          <m:r>
            <m:rPr>
              <m:sty m:val="p"/>
            </m:rPr>
            <m:t>=</m:t>
          </m:r>
          <m:f>
            <m:fPr>
              <m:type m:val="bar"/>
            </m:fPr>
            <m:num>
              <m:r>
                <m:t>0</m:t>
              </m:r>
              <m:r>
                <m:rPr>
                  <m:sty m:val="p"/>
                </m:rPr>
                <m:t>,</m:t>
              </m:r>
              <m:r>
                <m:t>0347</m:t>
              </m:r>
            </m:num>
            <m:den>
              <m:r>
                <m:t>0</m:t>
              </m:r>
              <m:r>
                <m:rPr>
                  <m:sty m:val="p"/>
                </m:rPr>
                <m:t>,</m:t>
              </m:r>
              <m:sSup>
                <m:e>
                  <m:r>
                    <m:t>1113</m:t>
                  </m:r>
                </m:e>
                <m:sup>
                  <m:r>
                    <m:t>2</m:t>
                  </m:r>
                </m:sup>
              </m:sSup>
            </m:den>
          </m:f>
          <m:r>
            <m:rPr>
              <m:sty m:val="p"/>
            </m:rPr>
            <m:t>=</m:t>
          </m:r>
          <m:f>
            <m:fPr>
              <m:type m:val="bar"/>
            </m:fPr>
            <m:num>
              <m:r>
                <m:t>0</m:t>
              </m:r>
              <m:r>
                <m:rPr>
                  <m:sty m:val="p"/>
                </m:rPr>
                <m:t>,</m:t>
              </m:r>
              <m:r>
                <m:t>0347</m:t>
              </m:r>
            </m:num>
            <m:den>
              <m:r>
                <m:t>0</m:t>
              </m:r>
              <m:r>
                <m:rPr>
                  <m:sty m:val="p"/>
                </m:rPr>
                <m:t>,</m:t>
              </m:r>
              <m:r>
                <m:t>012388</m:t>
              </m:r>
            </m:den>
          </m:f>
          <m:r>
            <m:rPr>
              <m:sty m:val="p"/>
            </m:rPr>
            <m:t>=</m:t>
          </m:r>
          <m:r>
            <m:rPr>
              <m:sty m:val="b"/>
            </m:rPr>
            <m:t>2</m:t>
          </m:r>
          <m:r>
            <m:rPr>
              <m:sty m:val="b"/>
            </m:rPr>
            <m:t>,</m:t>
          </m:r>
          <m:r>
            <m:rPr>
              <m:sty m:val="b"/>
            </m:rPr>
            <m:t>80</m:t>
          </m:r>
        </m:oMath>
      </m:oMathPara>
    </w:p>
    <w:p>
      <w:pPr>
        <w:pStyle w:val="FirstParagraph"/>
      </w:pPr>
      <w:r>
        <w:rPr>
          <w:b/>
          <w:bCs/>
          <w:lang w:val="id"/>
        </w:rPr>
        <w:t xml:space="preserve">Langkah 4 — hitung imbal hasil ekuilibrium tersirat.</w:t>
      </w:r>
    </w:p>
    <w:p>
      <w:pPr>
        <w:pStyle w:val="BodyText"/>
      </w:pPr>
      <m:oMathPara>
        <m:oMathParaPr>
          <m:jc m:val="center"/>
        </m:oMathParaPr>
        <m:oMath>
          <m:r>
            <m:rPr>
              <m:sty m:val="b"/>
            </m:rPr>
            <m:t>Π</m:t>
          </m:r>
          <m:r>
            <m:rPr>
              <m:sty m:val="p"/>
            </m:rPr>
            <m:t>=</m:t>
          </m:r>
          <m:r>
            <m:t>λ</m:t>
          </m:r>
          <m:r>
            <m:rPr>
              <m:sty m:val="p"/>
            </m:rPr>
            <m:t>Σ</m:t>
          </m:r>
          <m:sSub>
            <m:e>
              <m:r>
                <m:rPr>
                  <m:sty m:val="bi"/>
                </m:rPr>
                <m:t>w</m:t>
              </m:r>
            </m:e>
            <m:sub>
              <m:r>
                <m:rPr>
                  <m:nor/>
                  <m:sty m:val="p"/>
                </m:rPr>
                <m:t>pasar</m:t>
              </m:r>
            </m:sub>
          </m:sSub>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Aset</w:t>
            </w:r>
          </w:p>
        </w:tc>
        <w:tc>
          <w:tcPr/>
          <w:p>
            <w:pPr>
              <w:pStyle w:val="Compact"/>
              <w:jc w:val="right"/>
            </w:pPr>
            <m:oMath>
              <m:r>
                <m:rPr>
                  <m:sty m:val="p"/>
                </m:rPr>
                <m:t>Π</m:t>
              </m:r>
            </m:oMath>
            <w:r>
              <w:rPr>
                <w:lang w:val="id"/>
              </w:rPr>
              <w:t xml:space="preserve">​</w:t>
            </w:r>
          </w:p>
        </w:tc>
        <w:tc>
          <w:tcPr/>
          <w:p>
            <w:pPr>
              <w:pStyle w:val="Compact"/>
              <w:jc w:val="right"/>
            </w:pPr>
            <w:r>
              <w:rPr>
                <w:lang w:val="id"/>
              </w:rPr>
              <w:t xml:space="preserve">Total dengan</w:t>
            </w:r>
            <w:r>
              <w:rPr>
                <w:lang w:val="id"/>
              </w:rPr>
              <w:t xml:space="preserve"> </w:t>
            </w:r>
            <m:oMath>
              <m:sSub>
                <m:e>
                  <m:r>
                    <m:t>r</m:t>
                  </m:r>
                </m:e>
                <m:sub>
                  <m:r>
                    <m:t>f</m:t>
                  </m:r>
                </m:sub>
              </m:sSub>
              <m:r>
                <m:rPr>
                  <m:sty m:val="p"/>
                </m:rPr>
                <m:t>=</m:t>
              </m:r>
              <m:r>
                <m:t>5</m:t>
              </m:r>
              <m:r>
                <m:rPr>
                  <m:sty m:val="p"/>
                </m:rPr>
                <m:t>%</m:t>
              </m:r>
            </m:oMath>
          </w:p>
        </w:tc>
      </w:tr>
      <w:tr>
        <w:tc>
          <w:tcPr/>
          <w:p>
            <w:pPr>
              <w:pStyle w:val="Compact"/>
            </w:pPr>
            <w:r>
              <w:rPr>
                <w:lang w:val="id"/>
              </w:rPr>
              <w:t xml:space="preserve">Saham negara maju</w:t>
            </w:r>
          </w:p>
        </w:tc>
        <w:tc>
          <w:tcPr/>
          <w:p>
            <w:pPr>
              <w:pStyle w:val="Compact"/>
              <w:jc w:val="right"/>
            </w:pPr>
            <w:r>
              <w:rPr>
                <w:b/>
                <w:bCs/>
                <w:lang w:val="id"/>
              </w:rPr>
              <w:t xml:space="preserve">5,87%</w:t>
            </w:r>
          </w:p>
        </w:tc>
        <w:tc>
          <w:tcPr/>
          <w:p>
            <w:pPr>
              <w:pStyle w:val="Compact"/>
              <w:jc w:val="right"/>
            </w:pPr>
            <w:r>
              <w:rPr>
                <w:lang w:val="id"/>
              </w:rPr>
              <w:t xml:space="preserve">10,87%</w:t>
            </w:r>
          </w:p>
        </w:tc>
      </w:tr>
      <w:tr>
        <w:tc>
          <w:tcPr/>
          <w:p>
            <w:pPr>
              <w:pStyle w:val="Compact"/>
            </w:pPr>
            <w:r>
              <w:rPr>
                <w:lang w:val="id"/>
              </w:rPr>
              <w:t xml:space="preserve">Obligasi pemerintah</w:t>
            </w:r>
          </w:p>
        </w:tc>
        <w:tc>
          <w:tcPr/>
          <w:p>
            <w:pPr>
              <w:pStyle w:val="Compact"/>
              <w:jc w:val="right"/>
            </w:pPr>
            <w:r>
              <w:rPr>
                <w:lang w:val="id"/>
              </w:rPr>
              <w:t xml:space="preserve">0,82%</w:t>
            </w:r>
          </w:p>
        </w:tc>
        <w:tc>
          <w:tcPr/>
          <w:p>
            <w:pPr>
              <w:pStyle w:val="Compact"/>
              <w:jc w:val="right"/>
            </w:pPr>
            <w:r>
              <w:rPr>
                <w:lang w:val="id"/>
              </w:rPr>
              <w:t xml:space="preserve">5,82%</w:t>
            </w:r>
          </w:p>
        </w:tc>
      </w:tr>
      <w:tr>
        <w:tc>
          <w:tcPr/>
          <w:p>
            <w:pPr>
              <w:pStyle w:val="Compact"/>
            </w:pPr>
            <w:r>
              <w:rPr>
                <w:lang w:val="id"/>
              </w:rPr>
              <w:t xml:space="preserve">Saham negara berkembang</w:t>
            </w:r>
          </w:p>
        </w:tc>
        <w:tc>
          <w:tcPr/>
          <w:p>
            <w:pPr>
              <w:pStyle w:val="Compact"/>
              <w:jc w:val="right"/>
            </w:pPr>
            <w:r>
              <w:rPr>
                <w:lang w:val="id"/>
              </w:rPr>
              <w:t xml:space="preserve">4,24%</w:t>
            </w:r>
          </w:p>
        </w:tc>
        <w:tc>
          <w:tcPr/>
          <w:p>
            <w:pPr>
              <w:pStyle w:val="Compact"/>
              <w:jc w:val="right"/>
            </w:pPr>
            <w:r>
              <w:rPr>
                <w:lang w:val="id"/>
              </w:rPr>
              <w:t xml:space="preserve">9,24%</w:t>
            </w:r>
          </w:p>
        </w:tc>
      </w:tr>
      <w:tr>
        <w:tc>
          <w:tcPr/>
          <w:p>
            <w:pPr>
              <w:pStyle w:val="Compact"/>
            </w:pPr>
            <w:r>
              <w:rPr>
                <w:lang w:val="id"/>
              </w:rPr>
              <w:t xml:space="preserve">Properti/REIT</w:t>
            </w:r>
          </w:p>
        </w:tc>
        <w:tc>
          <w:tcPr/>
          <w:p>
            <w:pPr>
              <w:pStyle w:val="Compact"/>
              <w:jc w:val="right"/>
            </w:pPr>
            <w:r>
              <w:rPr>
                <w:lang w:val="id"/>
              </w:rPr>
              <w:t xml:space="preserve">3,18%</w:t>
            </w:r>
          </w:p>
        </w:tc>
        <w:tc>
          <w:tcPr/>
          <w:p>
            <w:pPr>
              <w:pStyle w:val="Compact"/>
              <w:jc w:val="right"/>
            </w:pPr>
            <w:r>
              <w:rPr>
                <w:lang w:val="id"/>
              </w:rPr>
              <w:t xml:space="preserve">8,18%</w:t>
            </w:r>
          </w:p>
        </w:tc>
      </w:tr>
      <w:tr>
        <w:tc>
          <w:tcPr/>
          <w:p>
            <w:pPr>
              <w:pStyle w:val="Compact"/>
            </w:pPr>
            <w:r>
              <w:rPr>
                <w:lang w:val="id"/>
              </w:rPr>
              <w:t xml:space="preserve">Kas+</w:t>
            </w:r>
          </w:p>
        </w:tc>
        <w:tc>
          <w:tcPr/>
          <w:p>
            <w:pPr>
              <w:pStyle w:val="Compact"/>
              <w:jc w:val="right"/>
            </w:pPr>
            <w:r>
              <w:rPr>
                <w:lang w:val="id"/>
              </w:rPr>
              <w:t xml:space="preserve">0,82%</w:t>
            </w:r>
          </w:p>
        </w:tc>
        <w:tc>
          <w:tcPr/>
          <w:p>
            <w:pPr>
              <w:pStyle w:val="Compact"/>
              <w:jc w:val="right"/>
            </w:pPr>
            <w:r>
              <w:rPr>
                <w:lang w:val="id"/>
              </w:rPr>
              <w:t xml:space="preserve">5,82%</w:t>
            </w:r>
          </w:p>
        </w:tc>
      </w:tr>
    </w:tbl>
    <w:p>
      <w:pPr>
        <w:pStyle w:val="BodyText"/>
      </w:pPr>
      <w:r>
        <w:rPr>
          <w:b/>
          <w:bCs/>
          <w:lang w:val="id"/>
        </w:rPr>
        <w:t xml:space="preserve">Periksa:</w:t>
      </w:r>
      <w:r>
        <w:rPr>
          <w:lang w:val="id"/>
        </w:rPr>
        <w:t xml:space="preserve"> </w:t>
      </w:r>
      <m:oMath>
        <m:r>
          <m:rPr>
            <m:sty m:val="p"/>
          </m:rPr>
          <m:t>∑</m:t>
        </m:r>
        <m:sSub>
          <m:e>
            <m:r>
              <m:t>w</m:t>
            </m:r>
          </m:e>
          <m:sub>
            <m:r>
              <m:t>i</m:t>
            </m:r>
          </m:sub>
        </m:sSub>
        <m:sSub>
          <m:e>
            <m:r>
              <m:rPr>
                <m:sty m:val="p"/>
              </m:rPr>
              <m:t>Π</m:t>
            </m:r>
          </m:e>
          <m:sub>
            <m:r>
              <m:t>i</m:t>
            </m:r>
          </m:sub>
        </m:sSub>
        <m:r>
          <m:rPr>
            <m:sty m:val="p"/>
          </m:rPr>
          <m:t>=</m:t>
        </m:r>
        <m:r>
          <m:t>3</m:t>
        </m:r>
        <m:r>
          <m:rPr>
            <m:sty m:val="p"/>
          </m:rPr>
          <m:t>,</m:t>
        </m:r>
        <m:r>
          <m:t>47</m:t>
        </m:r>
        <m:r>
          <m:rPr>
            <m:sty m:val="p"/>
          </m:rPr>
          <m:t>%</m:t>
        </m:r>
      </m:oMath>
      <w:r>
        <w:rPr>
          <w:lang w:val="id"/>
        </w:rPr>
        <w:t xml:space="preserve"> </w:t>
      </w:r>
      <w:r>
        <w:rPr>
          <w:lang w:val="id"/>
        </w:rPr>
        <w:t xml:space="preserve">= premi pasar yang diasumsikan. ✓</w:t>
      </w:r>
      <w:r>
        <w:rPr>
          <w:lang w:val="id"/>
        </w:rPr>
        <w:t xml:space="preserve"> </w:t>
      </w:r>
      <w:r>
        <w:rPr>
          <w:lang w:val="id"/>
        </w:rPr>
        <w:t xml:space="preserve">Sharpe portofolio pasar</w:t>
      </w:r>
      <w:r>
        <w:rPr>
          <w:lang w:val="id"/>
        </w:rPr>
        <w:t xml:space="preserve"> </w:t>
      </w:r>
      <m:oMath>
        <m:r>
          <m:rPr>
            <m:sty m:val="p"/>
          </m:rPr>
          <m:t>=</m:t>
        </m:r>
        <m:r>
          <m:t>0</m:t>
        </m:r>
        <m:r>
          <m:rPr>
            <m:sty m:val="p"/>
          </m:rPr>
          <m:t>,</m:t>
        </m:r>
        <m:r>
          <m:t>0347</m:t>
        </m:r>
        <m:r>
          <m:rPr>
            <m:sty m:val="p"/>
          </m:rPr>
          <m:t>/</m:t>
        </m:r>
        <m:r>
          <m:t>0</m:t>
        </m:r>
        <m:r>
          <m:rPr>
            <m:sty m:val="p"/>
          </m:rPr>
          <m:t>,</m:t>
        </m:r>
        <m:r>
          <m:t>1113</m:t>
        </m:r>
        <m:r>
          <m:rPr>
            <m:sty m:val="p"/>
          </m:rPr>
          <m:t>=</m:t>
        </m:r>
        <m:r>
          <m:rPr>
            <m:sty m:val="b"/>
          </m:rPr>
          <m:t>0</m:t>
        </m:r>
        <m:r>
          <m:rPr>
            <m:sty m:val="b"/>
          </m:rPr>
          <m:t>,</m:t>
        </m:r>
        <m:r>
          <m:rPr>
            <m:sty m:val="b"/>
          </m:rPr>
          <m:t>3115</m:t>
        </m:r>
      </m:oMath>
    </w:p>
    <w:p>
      <w:pPr>
        <w:pStyle w:val="BodyText"/>
      </w:pPr>
      <w:r>
        <w:rPr>
          <w:b/>
          <w:bCs/>
          <w:lang w:val="id"/>
        </w:rPr>
        <w:t xml:space="preserve">Langkah 5 — bagaimana angka ini dipakai.</w:t>
      </w:r>
      <w:r>
        <w:rPr>
          <w:lang w:val="id"/>
        </w:rPr>
        <w:t xml:space="preserve"> </w:t>
      </w:r>
      <w:r>
        <w:rPr>
          <w:lang w:val="id"/>
        </w:rPr>
        <w:t xml:space="preserve">Ini bukan ramalan; ini</w:t>
      </w:r>
      <w:r>
        <w:rPr>
          <w:lang w:val="id"/>
        </w:rPr>
        <w:t xml:space="preserve"> </w:t>
      </w:r>
      <w:r>
        <w:rPr>
          <w:b/>
          <w:bCs/>
          <w:lang w:val="id"/>
        </w:rPr>
        <w:t xml:space="preserve">pembacaan atas posisi konsensus.</w:t>
      </w:r>
      <w:r>
        <w:rPr>
          <w:lang w:val="id"/>
        </w:rPr>
        <w:t xml:space="preserve"> </w:t>
      </w:r>
      <w:r>
        <w:rPr>
          <w:lang w:val="id"/>
        </w:rPr>
        <w:t xml:space="preserve">Pasar berperilaku seolah-olah ia mengharapkan premi 5,87% dari saham negara maju dan 0,82% dari obligasi pemerintah.</w:t>
      </w:r>
    </w:p>
    <w:p>
      <w:pPr>
        <w:pStyle w:val="BodyText"/>
      </w:pPr>
      <w:r>
        <w:rPr>
          <w:b/>
          <w:bCs/>
          <w:lang w:val="id"/>
        </w:rPr>
        <w:t xml:space="preserve">Langkah 6 — apa artinya bagi pandangan Anda.</w:t>
      </w:r>
      <w:r>
        <w:rPr>
          <w:lang w:val="id"/>
        </w:rPr>
        <w:t xml:space="preserve"> </w:t>
      </w:r>
      <w:r>
        <w:rPr>
          <w:lang w:val="id"/>
        </w:rPr>
        <w:t xml:space="preserve">Misalkan Anda meyakini saham negara berkembang akan memberi premi 7% dan bukan 4,24%. Pertanyaan yang harus Anda jawab bukan</w:t>
      </w:r>
      <w:r>
        <w:rPr>
          <w:lang w:val="id"/>
        </w:rPr>
        <w:t xml:space="preserve"> </w:t>
      </w:r>
      <w:r>
        <w:rPr>
          <w:lang w:val="id"/>
        </w:rPr>
        <w:t xml:space="preserve">“berapa target saya?”</w:t>
      </w:r>
      <w:r>
        <w:rPr>
          <w:lang w:val="id"/>
        </w:rPr>
        <w:t xml:space="preserve"> </w:t>
      </w:r>
      <w:r>
        <w:rPr>
          <w:lang w:val="id"/>
        </w:rPr>
        <w:t xml:space="preserve">melainkan:</w:t>
      </w:r>
    </w:p>
    <w:p>
      <w:pPr>
        <w:pStyle w:val="BlockText"/>
      </w:pPr>
      <w:r>
        <w:rPr>
          <w:b/>
          <w:bCs/>
          <w:lang w:val="id"/>
        </w:rPr>
        <w:t xml:space="preserve">“Apa yang saya ketahui, yang tidak diketahui pasar, yang membenarkan selisih 2,76 pp ini?”</w:t>
      </w:r>
    </w:p>
    <w:p>
      <w:pPr>
        <w:pStyle w:val="FirstParagraph"/>
      </w:pPr>
      <w:r>
        <w:rPr>
          <w:lang w:val="id"/>
        </w:rPr>
        <w:t xml:space="preserve">Bila Anda tidak dapat menjawabnya secara spesifik, pandangan Anda seharusnya bergeser ke arah</w:t>
      </w:r>
      <w:r>
        <w:rPr>
          <w:lang w:val="id"/>
        </w:rPr>
        <w:t xml:space="preserve"> </w:t>
      </w:r>
      <m:oMath>
        <m:r>
          <m:rPr>
            <m:sty m:val="b"/>
          </m:rPr>
          <m:t>Π</m:t>
        </m:r>
      </m:oMath>
      <w:r>
        <w:rPr>
          <w:lang w:val="id"/>
        </w:rPr>
        <w:t xml:space="preserve">, bukan sebaliknya.</w:t>
      </w:r>
      <w:r>
        <w:rPr>
          <w:lang w:val="id"/>
        </w:rPr>
        <w:t xml:space="preserve"> </w:t>
      </w:r>
      <w:r>
        <w:rPr>
          <w:b/>
          <w:bCs/>
          <w:lang w:val="id"/>
        </w:rPr>
        <w:t xml:space="preserve">Inilah disiplin yang diberikan Black-Litterman</w:t>
      </w:r>
      <w:r>
        <w:rPr>
          <w:lang w:val="id"/>
        </w:rPr>
        <w:t xml:space="preserve">, dan itulah nilainya yang sesungguhnya — bukan rumusnya.</w:t>
      </w:r>
    </w:p>
    <w:p>
      <w:pPr>
        <w:pStyle w:val="BodyText"/>
      </w:pPr>
      <w:r>
        <w:rPr>
          <w:b/>
          <w:bCs/>
          <w:lang w:val="id"/>
        </w:rPr>
        <w:t xml:space="preserve">Langkah 7 — dan bila Anda tidak punya pandangan sama sekali?</w:t>
      </w:r>
      <w:r>
        <w:rPr>
          <w:lang w:val="id"/>
        </w:rPr>
        <w:t xml:space="preserve"> </w:t>
      </w:r>
      <w:r>
        <w:rPr>
          <w:lang w:val="id"/>
        </w:rPr>
        <w:t xml:space="preserve">Maka</w:t>
      </w:r>
      <w:r>
        <w:rPr>
          <w:lang w:val="id"/>
        </w:rPr>
        <w:t xml:space="preserve"> </w:t>
      </w:r>
      <m:oMath>
        <m:sSub>
          <m:e>
            <m:r>
              <m:rPr>
                <m:sty m:val="bi"/>
              </m:rPr>
              <m:t>μ</m:t>
            </m:r>
          </m:e>
          <m:sub>
            <m:r>
              <m:t>B</m:t>
            </m:r>
            <m:r>
              <m:t>L</m:t>
            </m:r>
          </m:sub>
        </m:sSub>
        <m:r>
          <m:rPr>
            <m:sty m:val="p"/>
          </m:rPr>
          <m:t>=</m:t>
        </m:r>
        <m:r>
          <m:rPr>
            <m:sty m:val="b"/>
          </m:rPr>
          <m:t>Π</m:t>
        </m:r>
      </m:oMath>
      <w:r>
        <w:rPr>
          <w:lang w:val="id"/>
        </w:rPr>
        <w:t xml:space="preserve">, dan optimasi mengembalikan</w:t>
      </w:r>
      <w:r>
        <w:rPr>
          <w:lang w:val="id"/>
        </w:rPr>
        <w:t xml:space="preserve"> </w:t>
      </w:r>
      <w:r>
        <w:rPr>
          <w:b/>
          <w:bCs/>
          <w:lang w:val="id"/>
        </w:rPr>
        <w:t xml:space="preserve">tepat bobot pasar.</w:t>
      </w:r>
      <w:r>
        <w:rPr>
          <w:lang w:val="id"/>
        </w:rPr>
        <w:t xml:space="preserve"> </w:t>
      </w:r>
      <w:r>
        <w:rPr>
          <w:lang w:val="id"/>
        </w:rPr>
        <w:t xml:space="preserve">Tidak ada bobot ekstrem, tidak ada jual kosong yang lahir dari derau. Bandingkan dengan L3.1 §4.5, di mana 28,8% percobaan menghasilkan</w:t>
      </w:r>
      <w:r>
        <w:rPr>
          <w:lang w:val="id"/>
        </w:rPr>
        <w:t xml:space="preserve"> </w:t>
      </w:r>
      <m:oMath>
        <m:r>
          <m:rPr>
            <m:sty m:val="p"/>
          </m:rPr>
          <m:t>|</m:t>
        </m:r>
        <m:r>
          <m:t>w</m:t>
        </m:r>
        <m:r>
          <m:rPr>
            <m:sty m:val="p"/>
          </m:rPr>
          <m:t>|</m:t>
        </m:r>
        <m:r>
          <m:rPr>
            <m:sty m:val="p"/>
          </m:rPr>
          <m:t>&gt;</m:t>
        </m:r>
        <m:r>
          <m:t>2</m:t>
        </m:r>
      </m:oMath>
      <w:r>
        <w:rPr>
          <w:lang w:val="id"/>
        </w:rPr>
        <w:t xml:space="preserve">.</w:t>
      </w:r>
    </w:p>
    <w:p>
      <w:r>
        <w:pict>
          <v:rect style="width:0;height:1.5pt" o:hralign="center" o:hrstd="t" o:hr="t"/>
        </w:pict>
      </w:r>
    </w:p>
    <w:bookmarkEnd w:id="23"/>
    <w:bookmarkStart w:id="26" w:name="Xe792ec134793a35530fac773f2a244d3cc39a66"/>
    <w:p>
      <w:pPr>
        <w:pStyle w:val="Heading3"/>
      </w:pPr>
      <w:r>
        <w:rPr>
          <w:lang w:val="id"/>
        </w:rPr>
        <w:t xml:space="preserve">Contoh 4 — Kebijakan penyeimbangan ulang dan uji TAA</w:t>
      </w:r>
    </w:p>
    <w:bookmarkStart w:id="24" w:name="bagian-a-penyeimbangan-ulang"/>
    <w:p>
      <w:pPr>
        <w:pStyle w:val="Heading4"/>
      </w:pPr>
      <w:r>
        <w:rPr>
          <w:lang w:val="id"/>
        </w:rPr>
        <w:t xml:space="preserve">Bagian A — Penyeimbangan ulang</w:t>
      </w:r>
    </w:p>
    <w:p>
      <w:pPr>
        <w:pStyle w:val="FirstParagraph"/>
      </w:pPr>
      <w:r>
        <w:rPr>
          <w:b/>
          <w:bCs/>
          <w:lang w:val="id"/>
        </w:rPr>
        <w:t xml:space="preserve">Langkah 1 — rancangan.</w:t>
      </w:r>
      <w:r>
        <w:rPr>
          <w:lang w:val="id"/>
        </w:rPr>
        <w:t xml:space="preserve"> </w:t>
      </w:r>
      <w:r>
        <w:rPr>
          <w:lang w:val="id"/>
        </w:rPr>
        <w:t xml:space="preserve">Sasaran 40/30/10/12/8. Dua puluh tahun, 3.000 lintasan, biaya 15 bps per sisi.</w:t>
      </w:r>
    </w:p>
    <w:p>
      <w:pPr>
        <w:pStyle w:val="BodyText"/>
      </w:pPr>
      <w:r>
        <w:rPr>
          <w:b/>
          <w:bCs/>
          <w:lang w:val="id"/>
        </w:rPr>
        <w:t xml:space="preserve">Langkah 2 — hasil.</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Kebijakan</w:t>
            </w:r>
          </w:p>
        </w:tc>
        <w:tc>
          <w:tcPr/>
          <w:p>
            <w:pPr>
              <w:pStyle w:val="Compact"/>
              <w:jc w:val="right"/>
            </w:pPr>
            <w:r>
              <w:rPr>
                <w:lang w:val="id"/>
              </w:rPr>
              <w:t xml:space="preserve">CAGR</w:t>
            </w:r>
          </w:p>
        </w:tc>
        <w:tc>
          <w:tcPr/>
          <w:p>
            <w:pPr>
              <w:pStyle w:val="Compact"/>
              <w:jc w:val="right"/>
            </w:pPr>
            <w:r>
              <w:rPr>
                <w:lang w:val="id"/>
              </w:rPr>
              <w:t xml:space="preserve">Vol</w:t>
            </w:r>
          </w:p>
        </w:tc>
        <w:tc>
          <w:tcPr/>
          <w:p>
            <w:pPr>
              <w:pStyle w:val="Compact"/>
              <w:jc w:val="right"/>
            </w:pPr>
            <w:r>
              <w:rPr>
                <w:lang w:val="id"/>
              </w:rPr>
              <w:t xml:space="preserve">Sharpe</w:t>
            </w:r>
          </w:p>
        </w:tc>
        <w:tc>
          <w:tcPr/>
          <w:p>
            <w:pPr>
              <w:pStyle w:val="Compact"/>
              <w:jc w:val="right"/>
            </w:pPr>
            <w:r>
              <w:rPr>
                <w:lang w:val="id"/>
              </w:rPr>
              <w:t xml:space="preserve">Perputaran</w:t>
            </w:r>
          </w:p>
        </w:tc>
      </w:tr>
      <w:tr>
        <w:tc>
          <w:tcPr/>
          <w:p>
            <w:pPr>
              <w:pStyle w:val="Compact"/>
            </w:pPr>
            <w:r>
              <w:rPr>
                <w:lang w:val="id"/>
              </w:rPr>
              <w:t xml:space="preserve">Tanpa penyeimbangan</w:t>
            </w:r>
          </w:p>
        </w:tc>
        <w:tc>
          <w:tcPr/>
          <w:p>
            <w:pPr>
              <w:pStyle w:val="Compact"/>
              <w:jc w:val="right"/>
            </w:pPr>
            <w:r>
              <w:rPr>
                <w:lang w:val="id"/>
              </w:rPr>
              <w:t xml:space="preserve">8,503%</w:t>
            </w:r>
          </w:p>
        </w:tc>
        <w:tc>
          <w:tcPr/>
          <w:p>
            <w:pPr>
              <w:pStyle w:val="Compact"/>
              <w:jc w:val="right"/>
            </w:pPr>
            <w:r>
              <w:rPr>
                <w:lang w:val="id"/>
              </w:rPr>
              <w:t xml:space="preserve">12,18%</w:t>
            </w:r>
          </w:p>
        </w:tc>
        <w:tc>
          <w:tcPr/>
          <w:p>
            <w:pPr>
              <w:pStyle w:val="Compact"/>
              <w:jc w:val="right"/>
            </w:pPr>
            <w:r>
              <w:rPr>
                <w:lang w:val="id"/>
              </w:rPr>
              <w:t xml:space="preserve">0,2877</w:t>
            </w:r>
          </w:p>
        </w:tc>
        <w:tc>
          <w:tcPr/>
          <w:p>
            <w:pPr>
              <w:pStyle w:val="Compact"/>
              <w:jc w:val="right"/>
            </w:pPr>
            <w:r>
              <w:rPr>
                <w:lang w:val="id"/>
              </w:rPr>
              <w:t xml:space="preserve">0,00%</w:t>
            </w:r>
          </w:p>
        </w:tc>
      </w:tr>
      <w:tr>
        <w:tc>
          <w:tcPr/>
          <w:p>
            <w:pPr>
              <w:pStyle w:val="Compact"/>
            </w:pPr>
            <w:r>
              <w:rPr>
                <w:lang w:val="id"/>
              </w:rPr>
              <w:t xml:space="preserve">Kalender tahunan</w:t>
            </w:r>
          </w:p>
        </w:tc>
        <w:tc>
          <w:tcPr/>
          <w:p>
            <w:pPr>
              <w:pStyle w:val="Compact"/>
              <w:jc w:val="right"/>
            </w:pPr>
            <w:r>
              <w:rPr>
                <w:lang w:val="id"/>
              </w:rPr>
              <w:t xml:space="preserve">8,228%</w:t>
            </w:r>
          </w:p>
        </w:tc>
        <w:tc>
          <w:tcPr/>
          <w:p>
            <w:pPr>
              <w:pStyle w:val="Compact"/>
              <w:jc w:val="right"/>
            </w:pPr>
            <w:r>
              <w:rPr>
                <w:lang w:val="id"/>
              </w:rPr>
              <w:t xml:space="preserve">11,17%</w:t>
            </w:r>
          </w:p>
        </w:tc>
        <w:tc>
          <w:tcPr/>
          <w:p>
            <w:pPr>
              <w:pStyle w:val="Compact"/>
              <w:jc w:val="right"/>
            </w:pPr>
            <w:r>
              <w:rPr>
                <w:lang w:val="id"/>
              </w:rPr>
              <w:t xml:space="preserve">0,2891</w:t>
            </w:r>
          </w:p>
        </w:tc>
        <w:tc>
          <w:tcPr/>
          <w:p>
            <w:pPr>
              <w:pStyle w:val="Compact"/>
              <w:jc w:val="right"/>
            </w:pPr>
            <w:r>
              <w:rPr>
                <w:lang w:val="id"/>
              </w:rPr>
              <w:t xml:space="preserve">4,32%</w:t>
            </w:r>
          </w:p>
        </w:tc>
      </w:tr>
      <w:tr>
        <w:tc>
          <w:tcPr/>
          <w:p>
            <w:pPr>
              <w:pStyle w:val="Compact"/>
            </w:pPr>
            <w:r>
              <w:rPr>
                <w:lang w:val="id"/>
              </w:rPr>
              <w:t xml:space="preserve">Ambang 5%</w:t>
            </w:r>
          </w:p>
        </w:tc>
        <w:tc>
          <w:tcPr/>
          <w:p>
            <w:pPr>
              <w:pStyle w:val="Compact"/>
              <w:jc w:val="right"/>
            </w:pPr>
            <w:r>
              <w:rPr>
                <w:lang w:val="id"/>
              </w:rPr>
              <w:t xml:space="preserve">8,098%</w:t>
            </w:r>
          </w:p>
        </w:tc>
        <w:tc>
          <w:tcPr/>
          <w:p>
            <w:pPr>
              <w:pStyle w:val="Compact"/>
              <w:jc w:val="right"/>
            </w:pPr>
            <w:r>
              <w:rPr>
                <w:lang w:val="id"/>
              </w:rPr>
              <w:t xml:space="preserve">11,15%</w:t>
            </w:r>
          </w:p>
        </w:tc>
        <w:tc>
          <w:tcPr/>
          <w:p>
            <w:pPr>
              <w:pStyle w:val="Compact"/>
              <w:jc w:val="right"/>
            </w:pPr>
            <w:r>
              <w:rPr>
                <w:lang w:val="id"/>
              </w:rPr>
              <w:t xml:space="preserve">0,2777</w:t>
            </w:r>
          </w:p>
        </w:tc>
        <w:tc>
          <w:tcPr/>
          <w:p>
            <w:pPr>
              <w:pStyle w:val="Compact"/>
              <w:jc w:val="right"/>
            </w:pPr>
            <w:r>
              <w:rPr>
                <w:lang w:val="id"/>
              </w:rPr>
              <w:t xml:space="preserve">3,67%</w:t>
            </w:r>
          </w:p>
        </w:tc>
      </w:tr>
      <w:tr>
        <w:tc>
          <w:tcPr/>
          <w:p>
            <w:pPr>
              <w:pStyle w:val="Compact"/>
            </w:pPr>
            <w:r>
              <w:rPr>
                <w:b/>
                <w:bCs/>
                <w:lang w:val="id"/>
              </w:rPr>
              <w:t xml:space="preserve">Ambang 10%</w:t>
            </w:r>
          </w:p>
        </w:tc>
        <w:tc>
          <w:tcPr/>
          <w:p>
            <w:pPr>
              <w:pStyle w:val="Compact"/>
              <w:jc w:val="right"/>
            </w:pPr>
            <w:r>
              <w:rPr>
                <w:lang w:val="id"/>
              </w:rPr>
              <w:t xml:space="preserve">8,408%</w:t>
            </w:r>
          </w:p>
        </w:tc>
        <w:tc>
          <w:tcPr/>
          <w:p>
            <w:pPr>
              <w:pStyle w:val="Compact"/>
              <w:jc w:val="right"/>
            </w:pPr>
            <w:r>
              <w:rPr>
                <w:lang w:val="id"/>
              </w:rPr>
              <w:t xml:space="preserve">11,30%</w:t>
            </w:r>
          </w:p>
        </w:tc>
        <w:tc>
          <w:tcPr/>
          <w:p>
            <w:pPr>
              <w:pStyle w:val="Compact"/>
              <w:jc w:val="right"/>
            </w:pPr>
            <w:r>
              <w:rPr>
                <w:b/>
                <w:bCs/>
                <w:lang w:val="id"/>
              </w:rPr>
              <w:t xml:space="preserve">0,3015</w:t>
            </w:r>
          </w:p>
        </w:tc>
        <w:tc>
          <w:tcPr/>
          <w:p>
            <w:pPr>
              <w:pStyle w:val="Compact"/>
              <w:jc w:val="right"/>
            </w:pPr>
            <w:r>
              <w:rPr>
                <w:b/>
                <w:bCs/>
                <w:lang w:val="id"/>
              </w:rPr>
              <w:t xml:space="preserve">1,87%</w:t>
            </w:r>
          </w:p>
        </w:tc>
      </w:tr>
    </w:tbl>
    <w:p>
      <w:pPr>
        <w:pStyle w:val="BodyText"/>
      </w:pPr>
      <w:r>
        <w:rPr>
          <w:b/>
          <w:bCs/>
          <w:lang w:val="id"/>
        </w:rPr>
        <w:t xml:space="preserve">Langkah 3 — uji klaim</w:t>
      </w:r>
      <w:r>
        <w:rPr>
          <w:b/>
          <w:bCs/>
          <w:lang w:val="id"/>
        </w:rPr>
        <w:t xml:space="preserve"> </w:t>
      </w:r>
      <w:r>
        <w:rPr>
          <w:b/>
          <w:bCs/>
          <w:lang w:val="id"/>
        </w:rPr>
        <w:t xml:space="preserve">“bonus penyeimbangan ulang.”</w:t>
      </w:r>
    </w:p>
    <w:p>
      <w:pPr>
        <w:pStyle w:val="BodyText"/>
      </w:pPr>
      <m:oMathPara>
        <m:oMathParaPr>
          <m:jc m:val="center"/>
        </m:oMathParaPr>
        <m:oMath>
          <m:r>
            <m:rPr>
              <m:nor/>
              <m:sty m:val="p"/>
            </m:rPr>
            <m:t>CAGR tanpa penyeimbangan</m:t>
          </m:r>
          <m:r>
            <m:rPr>
              <m:sty m:val="p"/>
            </m:rPr>
            <m:t>=</m:t>
          </m:r>
          <m:r>
            <m:t>8</m:t>
          </m:r>
          <m:r>
            <m:rPr>
              <m:sty m:val="p"/>
            </m:rPr>
            <m:t>,</m:t>
          </m:r>
          <m:r>
            <m:t>503</m:t>
          </m:r>
          <m:r>
            <m:rPr>
              <m:sty m:val="p"/>
            </m:rPr>
            <m:t>%</m:t>
          </m:r>
          <m:r>
            <m:rPr>
              <m:sty m:val="p"/>
            </m:rPr>
            <m:t>&gt;</m:t>
          </m:r>
          <m:r>
            <m:rPr>
              <m:nor/>
              <m:sty m:val="p"/>
            </m:rPr>
            <m:t>seluruh kebijakan penyeimbangan</m:t>
          </m:r>
        </m:oMath>
      </m:oMathPara>
    </w:p>
    <w:p>
      <w:pPr>
        <w:pStyle w:val="FirstParagraph"/>
      </w:pPr>
      <w:r>
        <w:rPr>
          <w:b/>
          <w:bCs/>
          <w:lang w:val="id"/>
        </w:rPr>
        <w:t xml:space="preserve">Klaim bonus tidak didukung.</w:t>
      </w:r>
      <w:r>
        <w:rPr>
          <w:lang w:val="id"/>
        </w:rPr>
        <w:t xml:space="preserve"> </w:t>
      </w:r>
      <w:r>
        <w:rPr>
          <w:lang w:val="id"/>
        </w:rPr>
        <w:t xml:space="preserve">Setiap kebijakan penyeimbangan menurunkan imbal hasil.</w:t>
      </w:r>
    </w:p>
    <w:p>
      <w:pPr>
        <w:pStyle w:val="BodyText"/>
      </w:pPr>
      <w:r>
        <w:rPr>
          <w:b/>
          <w:bCs/>
          <w:lang w:val="id"/>
        </w:rPr>
        <w:t xml:space="preserve">Langkah 4 — ukur apa yang sebenarnya dibeli.</w:t>
      </w:r>
    </w:p>
    <w:p>
      <w:pPr>
        <w:pStyle w:val="BodyText"/>
      </w:pPr>
      <m:oMathPara>
        <m:oMathParaPr>
          <m:jc m:val="center"/>
        </m:oMathParaPr>
        <m:oMath>
          <m:r>
            <m:t>12</m:t>
          </m:r>
          <m:r>
            <m:rPr>
              <m:sty m:val="p"/>
            </m:rPr>
            <m:t>,</m:t>
          </m:r>
          <m:r>
            <m:t>18</m:t>
          </m:r>
          <m:r>
            <m:rPr>
              <m:sty m:val="p"/>
            </m:rPr>
            <m:t>%</m:t>
          </m:r>
          <m:r>
            <m:rPr>
              <m:sty m:val="p"/>
            </m:rPr>
            <m:t>−</m:t>
          </m:r>
          <m:r>
            <m:t>11</m:t>
          </m:r>
          <m:r>
            <m:rPr>
              <m:sty m:val="p"/>
            </m:rPr>
            <m:t>,</m:t>
          </m:r>
          <m:r>
            <m:t>17</m:t>
          </m:r>
          <m:r>
            <m:rPr>
              <m:sty m:val="p"/>
            </m:rPr>
            <m:t>%</m:t>
          </m:r>
          <m:r>
            <m:rPr>
              <m:sty m:val="p"/>
            </m:rPr>
            <m:t>=</m:t>
          </m:r>
          <m:r>
            <m:rPr>
              <m:sty m:val="b"/>
            </m:rPr>
            <m:t>1</m:t>
          </m:r>
          <m:r>
            <m:rPr>
              <m:sty m:val="b"/>
            </m:rPr>
            <m:t>,</m:t>
          </m:r>
          <m:r>
            <m:rPr>
              <m:sty m:val="b"/>
            </m:rPr>
            <m:t>01</m:t>
          </m:r>
          <m:r>
            <m:rPr>
              <m:sty m:val="b"/>
            </m:rPr>
            <m:t> </m:t>
          </m:r>
          <m:r>
            <m:rPr>
              <m:nor/>
              <m:sty m:val="p"/>
            </m:rPr>
            <m:t>pp</m:t>
          </m:r>
          <m:r>
            <m:t> </m:t>
          </m:r>
          <m:r>
            <m:rPr>
              <m:nor/>
              <m:sty m:val="p"/>
            </m:rPr>
            <m:t>pengurangan volatilitas</m:t>
          </m:r>
        </m:oMath>
      </m:oMathPara>
    </w:p>
    <w:p>
      <w:pPr>
        <w:pStyle w:val="FirstParagraph"/>
      </w:pPr>
      <w:r>
        <w:rPr>
          <w:lang w:val="id"/>
        </w:rPr>
        <w:t xml:space="preserve">Itulah produknya:</w:t>
      </w:r>
      <w:r>
        <w:rPr>
          <w:lang w:val="id"/>
        </w:rPr>
        <w:t xml:space="preserve"> </w:t>
      </w:r>
      <w:r>
        <w:rPr>
          <w:b/>
          <w:bCs/>
          <w:lang w:val="id"/>
        </w:rPr>
        <w:t xml:space="preserve">pengendalian risiko, bukan imbal hasil.</w:t>
      </w:r>
    </w:p>
    <w:p>
      <w:pPr>
        <w:pStyle w:val="BodyText"/>
      </w:pPr>
      <w:r>
        <w:rPr>
          <w:b/>
          <w:bCs/>
          <w:lang w:val="id"/>
        </w:rPr>
        <w:t xml:space="preserve">Langkah 5 — bandingkan pita ketat dan pita lebar.</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right"/>
            </w:pPr>
            <w:r>
              <w:rPr>
                <w:lang w:val="id"/>
              </w:rPr>
              <w:t xml:space="preserve">Ambang 5%</w:t>
            </w:r>
          </w:p>
        </w:tc>
        <w:tc>
          <w:tcPr/>
          <w:p>
            <w:pPr>
              <w:pStyle w:val="Compact"/>
              <w:jc w:val="right"/>
            </w:pPr>
            <w:r>
              <w:rPr>
                <w:lang w:val="id"/>
              </w:rPr>
              <w:t xml:space="preserve">Ambang 10%</w:t>
            </w:r>
          </w:p>
        </w:tc>
        <w:tc>
          <w:tcPr/>
          <w:p>
            <w:pPr>
              <w:pStyle w:val="Compact"/>
              <w:jc w:val="right"/>
            </w:pPr>
            <w:r>
              <w:rPr>
                <w:lang w:val="id"/>
              </w:rPr>
              <w:t xml:space="preserve">Selisih</w:t>
            </w:r>
          </w:p>
        </w:tc>
      </w:tr>
      <w:tr>
        <w:tc>
          <w:tcPr/>
          <w:p>
            <w:pPr>
              <w:pStyle w:val="Compact"/>
            </w:pPr>
            <w:r>
              <w:rPr>
                <w:lang w:val="id"/>
              </w:rPr>
              <w:t xml:space="preserve">Perputaran</w:t>
            </w:r>
          </w:p>
        </w:tc>
        <w:tc>
          <w:tcPr/>
          <w:p>
            <w:pPr>
              <w:pStyle w:val="Compact"/>
              <w:jc w:val="right"/>
            </w:pPr>
            <w:r>
              <w:rPr>
                <w:lang w:val="id"/>
              </w:rPr>
              <w:t xml:space="preserve">3,67%</w:t>
            </w:r>
          </w:p>
        </w:tc>
        <w:tc>
          <w:tcPr/>
          <w:p>
            <w:pPr>
              <w:pStyle w:val="Compact"/>
              <w:jc w:val="right"/>
            </w:pPr>
            <w:r>
              <w:rPr>
                <w:lang w:val="id"/>
              </w:rPr>
              <w:t xml:space="preserve">1,87%</w:t>
            </w:r>
          </w:p>
        </w:tc>
        <w:tc>
          <w:tcPr/>
          <w:p>
            <w:pPr>
              <w:pStyle w:val="Compact"/>
              <w:jc w:val="right"/>
            </w:pPr>
            <w:r>
              <w:rPr>
                <w:lang w:val="id"/>
              </w:rPr>
              <w:t xml:space="preserve">pita lebar</w:t>
            </w:r>
            <w:r>
              <w:rPr>
                <w:lang w:val="id"/>
              </w:rPr>
              <w:t xml:space="preserve"> </w:t>
            </w:r>
            <w:r>
              <w:rPr>
                <w:b/>
                <w:bCs/>
                <w:lang w:val="id"/>
              </w:rPr>
              <w:t xml:space="preserve">49,0% lebih rendah</w:t>
            </w:r>
          </w:p>
        </w:tc>
      </w:tr>
      <w:tr>
        <w:tc>
          <w:tcPr/>
          <w:p>
            <w:pPr>
              <w:pStyle w:val="Compact"/>
            </w:pPr>
            <w:r>
              <w:rPr>
                <w:lang w:val="id"/>
              </w:rPr>
              <w:t xml:space="preserve">Volatilitas</w:t>
            </w:r>
          </w:p>
        </w:tc>
        <w:tc>
          <w:tcPr/>
          <w:p>
            <w:pPr>
              <w:pStyle w:val="Compact"/>
              <w:jc w:val="right"/>
            </w:pPr>
            <w:r>
              <w:rPr>
                <w:lang w:val="id"/>
              </w:rPr>
              <w:t xml:space="preserve">11,15%</w:t>
            </w:r>
          </w:p>
        </w:tc>
        <w:tc>
          <w:tcPr/>
          <w:p>
            <w:pPr>
              <w:pStyle w:val="Compact"/>
              <w:jc w:val="right"/>
            </w:pPr>
            <w:r>
              <w:rPr>
                <w:lang w:val="id"/>
              </w:rPr>
              <w:t xml:space="preserve">11,30%</w:t>
            </w:r>
          </w:p>
        </w:tc>
        <w:tc>
          <w:tcPr/>
          <w:p>
            <w:pPr>
              <w:pStyle w:val="Compact"/>
              <w:jc w:val="right"/>
            </w:pPr>
            <w:r>
              <w:rPr>
                <w:lang w:val="id"/>
              </w:rPr>
              <w:t xml:space="preserve">pita lebar 0,15 pp lebih tinggi</w:t>
            </w:r>
          </w:p>
        </w:tc>
      </w:tr>
      <w:tr>
        <w:tc>
          <w:tcPr/>
          <w:p>
            <w:pPr>
              <w:pStyle w:val="Compact"/>
            </w:pPr>
            <w:r>
              <w:rPr>
                <w:lang w:val="id"/>
              </w:rPr>
              <w:t xml:space="preserve">Sharpe</w:t>
            </w:r>
          </w:p>
        </w:tc>
        <w:tc>
          <w:tcPr/>
          <w:p>
            <w:pPr>
              <w:pStyle w:val="Compact"/>
              <w:jc w:val="right"/>
            </w:pPr>
            <w:r>
              <w:rPr>
                <w:lang w:val="id"/>
              </w:rPr>
              <w:t xml:space="preserve">0,2777</w:t>
            </w:r>
          </w:p>
        </w:tc>
        <w:tc>
          <w:tcPr/>
          <w:p>
            <w:pPr>
              <w:pStyle w:val="Compact"/>
              <w:jc w:val="right"/>
            </w:pPr>
            <w:r>
              <w:rPr>
                <w:b/>
                <w:bCs/>
                <w:lang w:val="id"/>
              </w:rPr>
              <w:t xml:space="preserve">0,3015</w:t>
            </w:r>
          </w:p>
        </w:tc>
        <w:tc>
          <w:tcPr/>
          <w:p>
            <w:pPr>
              <w:pStyle w:val="Compact"/>
              <w:jc w:val="right"/>
            </w:pPr>
            <w:r>
              <w:rPr>
                <w:lang w:val="id"/>
              </w:rPr>
              <w:t xml:space="preserve">pita lebar</w:t>
            </w:r>
            <w:r>
              <w:rPr>
                <w:lang w:val="id"/>
              </w:rPr>
              <w:t xml:space="preserve"> </w:t>
            </w:r>
            <w:r>
              <w:rPr>
                <w:b/>
                <w:bCs/>
                <w:lang w:val="id"/>
              </w:rPr>
              <w:t xml:space="preserve">+8,6%</w:t>
            </w:r>
          </w:p>
        </w:tc>
      </w:tr>
    </w:tbl>
    <w:p>
      <w:pPr>
        <w:pStyle w:val="BodyText"/>
      </w:pPr>
      <w:r>
        <w:rPr>
          <w:lang w:val="id"/>
        </w:rPr>
        <w:t xml:space="preserve">Pita ketat membayar perputaran dua kali lipat untuk pengurangan volatilitas 0,15 pp, dan menghasilkan Sharpe</w:t>
      </w:r>
      <w:r>
        <w:rPr>
          <w:lang w:val="id"/>
        </w:rPr>
        <w:t xml:space="preserve"> </w:t>
      </w:r>
      <w:r>
        <w:rPr>
          <w:b/>
          <w:bCs/>
          <w:lang w:val="id"/>
        </w:rPr>
        <w:t xml:space="preserve">terendah dari keempat kebijakan</w:t>
      </w:r>
      <w:r>
        <w:rPr>
          <w:lang w:val="id"/>
        </w:rPr>
        <w:t xml:space="preserve"> </w:t>
      </w:r>
      <w:r>
        <w:rPr>
          <w:lang w:val="id"/>
        </w:rPr>
        <w:t xml:space="preserve">— bahkan lebih rendah daripada tidak menyeimbangkan sama sekali.</w:t>
      </w:r>
    </w:p>
    <w:p>
      <w:pPr>
        <w:pStyle w:val="BodyText"/>
      </w:pPr>
      <w:r>
        <w:rPr>
          <w:b/>
          <w:bCs/>
          <w:lang w:val="id"/>
        </w:rPr>
        <w:t xml:space="preserve">Langkah 6 — terjemahkan ke rupiah.</w:t>
      </w:r>
      <w:r>
        <w:rPr>
          <w:lang w:val="id"/>
        </w:rPr>
        <w:t xml:space="preserve"> </w:t>
      </w:r>
      <w:r>
        <w:rPr>
          <w:lang w:val="id"/>
        </w:rPr>
        <w:t xml:space="preserve">Portofolio Rp5 miliar, biaya 30 bps bolak-balik:</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Kebijakan</w:t>
            </w:r>
          </w:p>
        </w:tc>
        <w:tc>
          <w:tcPr/>
          <w:p>
            <w:pPr>
              <w:pStyle w:val="Compact"/>
              <w:jc w:val="right"/>
            </w:pPr>
            <w:r>
              <w:rPr>
                <w:lang w:val="id"/>
              </w:rPr>
              <w:t xml:space="preserve">Perputaran</w:t>
            </w:r>
          </w:p>
        </w:tc>
        <w:tc>
          <w:tcPr/>
          <w:p>
            <w:pPr>
              <w:pStyle w:val="Compact"/>
              <w:jc w:val="right"/>
            </w:pPr>
            <w:r>
              <w:rPr>
                <w:lang w:val="id"/>
              </w:rPr>
              <w:t xml:space="preserve">Biaya/tahun</w:t>
            </w:r>
          </w:p>
        </w:tc>
      </w:tr>
      <w:tr>
        <w:tc>
          <w:tcPr/>
          <w:p>
            <w:pPr>
              <w:pStyle w:val="Compact"/>
            </w:pPr>
            <w:r>
              <w:rPr>
                <w:lang w:val="id"/>
              </w:rPr>
              <w:t xml:space="preserve">Ambang 5%</w:t>
            </w:r>
          </w:p>
        </w:tc>
        <w:tc>
          <w:tcPr/>
          <w:p>
            <w:pPr>
              <w:pStyle w:val="Compact"/>
              <w:jc w:val="right"/>
            </w:pPr>
            <w:r>
              <w:rPr>
                <w:lang w:val="id"/>
              </w:rPr>
              <w:t xml:space="preserve">3,67%</w:t>
            </w:r>
          </w:p>
        </w:tc>
        <w:tc>
          <w:tcPr/>
          <w:p>
            <w:pPr>
              <w:pStyle w:val="Compact"/>
              <w:jc w:val="right"/>
            </w:pPr>
            <w:r>
              <w:rPr>
                <w:b/>
                <w:bCs/>
                <w:lang w:val="id"/>
              </w:rPr>
              <w:t xml:space="preserve">Rp 550.500</w:t>
            </w:r>
          </w:p>
        </w:tc>
      </w:tr>
      <w:tr>
        <w:tc>
          <w:tcPr/>
          <w:p>
            <w:pPr>
              <w:pStyle w:val="Compact"/>
            </w:pPr>
            <w:r>
              <w:rPr>
                <w:lang w:val="id"/>
              </w:rPr>
              <w:t xml:space="preserve">Ambang 10%</w:t>
            </w:r>
          </w:p>
        </w:tc>
        <w:tc>
          <w:tcPr/>
          <w:p>
            <w:pPr>
              <w:pStyle w:val="Compact"/>
              <w:jc w:val="right"/>
            </w:pPr>
            <w:r>
              <w:rPr>
                <w:lang w:val="id"/>
              </w:rPr>
              <w:t xml:space="preserve">1,87%</w:t>
            </w:r>
          </w:p>
        </w:tc>
        <w:tc>
          <w:tcPr/>
          <w:p>
            <w:pPr>
              <w:pStyle w:val="Compact"/>
              <w:jc w:val="right"/>
            </w:pPr>
            <w:r>
              <w:rPr>
                <w:b/>
                <w:bCs/>
                <w:lang w:val="id"/>
              </w:rPr>
              <w:t xml:space="preserve">Rp 280.500</w:t>
            </w:r>
          </w:p>
        </w:tc>
      </w:tr>
    </w:tbl>
    <w:p>
      <w:pPr>
        <w:pStyle w:val="BodyText"/>
      </w:pPr>
      <w:r>
        <w:rPr>
          <w:lang w:val="id"/>
        </w:rPr>
        <w:t xml:space="preserve">Selisih Rp270.000 per tahun — kecil dalam rupiah, tetapi ia dibayar setiap tahun untuk memperoleh Sharpe yang lebih rendah.</w:t>
      </w:r>
    </w:p>
    <w:bookmarkEnd w:id="24"/>
    <w:bookmarkStart w:id="25" w:name="bagian-b-uji-taa"/>
    <w:p>
      <w:pPr>
        <w:pStyle w:val="Heading4"/>
      </w:pPr>
      <w:r>
        <w:rPr>
          <w:lang w:val="id"/>
        </w:rPr>
        <w:t xml:space="preserve">Bagian B — Uji TAA</w:t>
      </w:r>
    </w:p>
    <w:p>
      <w:pPr>
        <w:pStyle w:val="FirstParagraph"/>
      </w:pPr>
      <w:r>
        <w:rPr>
          <w:b/>
          <w:bCs/>
          <w:lang w:val="id"/>
        </w:rPr>
        <w:t xml:space="preserve">Langkah 1 — rancangan uji berpasangan.</w:t>
      </w:r>
      <w:r>
        <w:rPr>
          <w:lang w:val="id"/>
        </w:rPr>
        <w:t xml:space="preserve"> </w:t>
      </w:r>
      <w:r>
        <w:rPr>
          <w:lang w:val="id"/>
        </w:rPr>
        <w:t xml:space="preserve">Setiap lintasan dijalankan dua kali dengan benih acak identik: sekali dengan SAA murni, sekali dengan kemiringan momentum ±10 pp tahunan. Pemasangan ini menghapus derau lintasan dari perbandingan.</w:t>
      </w:r>
    </w:p>
    <w:p>
      <w:pPr>
        <w:pStyle w:val="BodyText"/>
      </w:pPr>
      <w:r>
        <w:rPr>
          <w:b/>
          <w:bCs/>
          <w:lang w:val="id"/>
        </w:rPr>
        <w:t xml:space="preserve">Langkah 2 — hasil.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right"/>
            </w:pPr>
            <w:r>
              <w:rPr>
                <w:lang w:val="id"/>
              </w:rPr>
              <w:t xml:space="preserve">SAA murni</w:t>
            </w:r>
          </w:p>
        </w:tc>
        <w:tc>
          <w:tcPr/>
          <w:p>
            <w:pPr>
              <w:pStyle w:val="Compact"/>
              <w:jc w:val="right"/>
            </w:pPr>
            <w:r>
              <w:rPr>
                <w:lang w:val="id"/>
              </w:rPr>
              <w:t xml:space="preserve">SAA + TAA</w:t>
            </w:r>
          </w:p>
        </w:tc>
        <w:tc>
          <w:tcPr/>
          <w:p>
            <w:pPr>
              <w:pStyle w:val="Compact"/>
              <w:jc w:val="right"/>
            </w:pPr>
            <w:r>
              <w:rPr>
                <w:lang w:val="id"/>
              </w:rPr>
              <w:t xml:space="preserve">Selisih</w:t>
            </w:r>
          </w:p>
        </w:tc>
      </w:tr>
      <w:tr>
        <w:tc>
          <w:tcPr/>
          <w:p>
            <w:pPr>
              <w:pStyle w:val="Compact"/>
            </w:pPr>
            <w:r>
              <w:rPr>
                <w:lang w:val="id"/>
              </w:rPr>
              <w:t xml:space="preserve">CAGR</w:t>
            </w:r>
          </w:p>
        </w:tc>
        <w:tc>
          <w:tcPr/>
          <w:p>
            <w:pPr>
              <w:pStyle w:val="Compact"/>
              <w:jc w:val="right"/>
            </w:pPr>
            <w:r>
              <w:rPr>
                <w:lang w:val="id"/>
              </w:rPr>
              <w:t xml:space="preserve">8,193%</w:t>
            </w:r>
          </w:p>
        </w:tc>
        <w:tc>
          <w:tcPr/>
          <w:p>
            <w:pPr>
              <w:pStyle w:val="Compact"/>
              <w:jc w:val="right"/>
            </w:pPr>
            <w:r>
              <w:rPr>
                <w:lang w:val="id"/>
              </w:rPr>
              <w:t xml:space="preserve">8,226%</w:t>
            </w:r>
          </w:p>
        </w:tc>
        <w:tc>
          <w:tcPr/>
          <w:p>
            <w:pPr>
              <w:pStyle w:val="Compact"/>
              <w:jc w:val="right"/>
            </w:pPr>
            <w:r>
              <w:rPr>
                <w:b/>
                <w:bCs/>
                <w:lang w:val="id"/>
              </w:rPr>
              <w:t xml:space="preserve">+0,0331 pp</w:t>
            </w:r>
          </w:p>
        </w:tc>
      </w:tr>
      <w:tr>
        <w:tc>
          <w:tcPr/>
          <w:p>
            <w:pPr>
              <w:pStyle w:val="Compact"/>
            </w:pPr>
            <w:r>
              <w:rPr>
                <w:lang w:val="id"/>
              </w:rPr>
              <w:t xml:space="preserve">Volatilitas</w:t>
            </w:r>
          </w:p>
        </w:tc>
        <w:tc>
          <w:tcPr/>
          <w:p>
            <w:pPr>
              <w:pStyle w:val="Compact"/>
              <w:jc w:val="right"/>
            </w:pPr>
            <w:r>
              <w:rPr>
                <w:lang w:val="id"/>
              </w:rPr>
              <w:t xml:space="preserve">11,15%</w:t>
            </w:r>
          </w:p>
        </w:tc>
        <w:tc>
          <w:tcPr/>
          <w:p>
            <w:pPr>
              <w:pStyle w:val="Compact"/>
              <w:jc w:val="right"/>
            </w:pPr>
            <w:r>
              <w:rPr>
                <w:lang w:val="id"/>
              </w:rPr>
              <w:t xml:space="preserve">11,46%</w:t>
            </w:r>
          </w:p>
        </w:tc>
        <w:tc>
          <w:tcPr/>
          <w:p>
            <w:pPr>
              <w:pStyle w:val="Compact"/>
              <w:jc w:val="right"/>
            </w:pPr>
            <w:r>
              <w:rPr>
                <w:lang w:val="id"/>
              </w:rPr>
              <w:t xml:space="preserve">+0,31 pp</w:t>
            </w:r>
          </w:p>
        </w:tc>
      </w:tr>
      <w:tr>
        <w:tc>
          <w:tcPr/>
          <w:p>
            <w:pPr>
              <w:pStyle w:val="Compact"/>
            </w:pPr>
            <w:r>
              <w:rPr>
                <w:lang w:val="id"/>
              </w:rPr>
              <w:t xml:space="preserve">Sharpe</w:t>
            </w:r>
          </w:p>
        </w:tc>
        <w:tc>
          <w:tcPr/>
          <w:p>
            <w:pPr>
              <w:pStyle w:val="Compact"/>
              <w:jc w:val="right"/>
            </w:pPr>
            <w:r>
              <w:rPr>
                <w:b/>
                <w:bCs/>
                <w:lang w:val="id"/>
              </w:rPr>
              <w:t xml:space="preserve">0,2865</w:t>
            </w:r>
          </w:p>
        </w:tc>
        <w:tc>
          <w:tcPr/>
          <w:p>
            <w:pPr>
              <w:pStyle w:val="Compact"/>
              <w:jc w:val="right"/>
            </w:pPr>
            <w:r>
              <w:rPr>
                <w:b/>
                <w:bCs/>
                <w:lang w:val="id"/>
              </w:rPr>
              <w:t xml:space="preserve">0,2815</w:t>
            </w:r>
          </w:p>
        </w:tc>
        <w:tc>
          <w:tcPr/>
          <w:p>
            <w:pPr>
              <w:pStyle w:val="Compact"/>
              <w:jc w:val="right"/>
            </w:pPr>
            <w:r>
              <w:rPr>
                <w:b/>
                <w:bCs/>
                <w:lang w:val="id"/>
              </w:rPr>
              <w:t xml:space="preserve">−0,0050</w:t>
            </w:r>
          </w:p>
        </w:tc>
      </w:tr>
      <w:tr>
        <w:tc>
          <w:tcPr/>
          <w:p>
            <w:pPr>
              <w:pStyle w:val="Compact"/>
            </w:pPr>
            <w:r>
              <w:rPr>
                <w:lang w:val="id"/>
              </w:rPr>
              <w:t xml:space="preserve">Perputaran</w:t>
            </w:r>
          </w:p>
        </w:tc>
        <w:tc>
          <w:tcPr/>
          <w:p>
            <w:pPr>
              <w:pStyle w:val="Compact"/>
              <w:jc w:val="right"/>
            </w:pPr>
            <w:r>
              <w:rPr>
                <w:lang w:val="id"/>
              </w:rPr>
              <w:t xml:space="preserve">4,31%</w:t>
            </w:r>
          </w:p>
        </w:tc>
        <w:tc>
          <w:tcPr/>
          <w:p>
            <w:pPr>
              <w:pStyle w:val="Compact"/>
              <w:jc w:val="right"/>
            </w:pPr>
            <w:r>
              <w:rPr>
                <w:lang w:val="id"/>
              </w:rPr>
              <w:t xml:space="preserve">14,40%</w:t>
            </w:r>
          </w:p>
        </w:tc>
        <w:tc>
          <w:tcPr/>
          <w:p>
            <w:pPr>
              <w:pStyle w:val="Compact"/>
              <w:jc w:val="right"/>
            </w:pPr>
            <w:r>
              <w:rPr>
                <w:b/>
                <w:bCs/>
                <w:lang w:val="id"/>
              </w:rPr>
              <w:t xml:space="preserve">3,3×</w:t>
            </w:r>
          </w:p>
        </w:tc>
      </w:tr>
    </w:tbl>
    <w:p>
      <w:pPr>
        <w:pStyle w:val="BodyText"/>
      </w:pPr>
      <w:r>
        <w:rPr>
          <w:b/>
          <w:bCs/>
          <w:lang w:val="id"/>
        </w:rPr>
        <w:t xml:space="preserve">Langkah 3 — uji signifikansi statistik.</w:t>
      </w:r>
    </w:p>
    <w:p>
      <w:pPr>
        <w:pStyle w:val="BodyText"/>
      </w:pPr>
      <m:oMathPara>
        <m:oMathParaPr>
          <m:jc m:val="center"/>
        </m:oMathParaPr>
        <m:oMath>
          <m:r>
            <m:t>S</m:t>
          </m:r>
          <m:r>
            <m:t>E</m:t>
          </m:r>
          <m:r>
            <m:rPr>
              <m:sty m:val="p"/>
            </m:rPr>
            <m:t>=</m:t>
          </m:r>
          <m:r>
            <m:t>0</m:t>
          </m:r>
          <m:r>
            <m:rPr>
              <m:sty m:val="p"/>
            </m:rPr>
            <m:t>,</m:t>
          </m:r>
          <m:r>
            <m:t>00769</m:t>
          </m:r>
          <m:r>
            <m:t> </m:t>
          </m:r>
          <m:r>
            <m:rPr>
              <m:nor/>
              <m:sty m:val="p"/>
            </m:rPr>
            <m:t>pp</m:t>
          </m:r>
          <m:r>
            <m:t>  </m:t>
          </m:r>
          <m:r>
            <m:t>t</m:t>
          </m:r>
          <m:r>
            <m:rPr>
              <m:sty m:val="p"/>
            </m:rPr>
            <m:t>=</m:t>
          </m:r>
          <m:f>
            <m:fPr>
              <m:type m:val="bar"/>
            </m:fPr>
            <m:num>
              <m:r>
                <m:t>0</m:t>
              </m:r>
              <m:r>
                <m:rPr>
                  <m:sty m:val="p"/>
                </m:rPr>
                <m:t>,</m:t>
              </m:r>
              <m:r>
                <m:t>0331</m:t>
              </m:r>
            </m:num>
            <m:den>
              <m:r>
                <m:t>0</m:t>
              </m:r>
              <m:r>
                <m:rPr>
                  <m:sty m:val="p"/>
                </m:rPr>
                <m:t>,</m:t>
              </m:r>
              <m:r>
                <m:t>00769</m:t>
              </m:r>
            </m:den>
          </m:f>
          <m:r>
            <m:rPr>
              <m:sty m:val="p"/>
            </m:rPr>
            <m:t>=</m:t>
          </m:r>
          <m:r>
            <m:rPr>
              <m:sty m:val="b"/>
            </m:rPr>
            <m:t>4</m:t>
          </m:r>
          <m:r>
            <m:rPr>
              <m:sty m:val="b"/>
            </m:rPr>
            <m:t>,</m:t>
          </m:r>
          <m:r>
            <m:rPr>
              <m:sty m:val="b"/>
            </m:rPr>
            <m:t>305</m:t>
          </m:r>
        </m:oMath>
      </m:oMathPara>
    </w:p>
    <w:p>
      <w:pPr>
        <w:pStyle w:val="FirstParagraph"/>
      </w:pPr>
      <m:oMathPara>
        <m:oMathParaPr>
          <m:jc m:val="center"/>
        </m:oMathParaPr>
        <m:oMath>
          <m:sSub>
            <m:e>
              <m:r>
                <m:rPr>
                  <m:nor/>
                  <m:sty m:val="p"/>
                </m:rPr>
                <m:t>CI</m:t>
              </m:r>
            </m:e>
            <m:sub>
              <m:r>
                <m:t>95</m:t>
              </m:r>
              <m:r>
                <m:rPr>
                  <m:sty m:val="p"/>
                </m:rPr>
                <m:t>%</m:t>
              </m:r>
            </m:sub>
          </m:sSub>
          <m:r>
            <m:rPr>
              <m:sty m:val="p"/>
            </m:rPr>
            <m:t>=</m:t>
          </m:r>
          <m:r>
            <m:rPr>
              <m:sty m:val="p"/>
            </m:rPr>
            <m:t>[</m:t>
          </m:r>
          <m:r>
            <m:rPr>
              <m:sty m:val="p"/>
            </m:rPr>
            <m:t>+</m:t>
          </m:r>
          <m:r>
            <m:t>0</m:t>
          </m:r>
          <m:r>
            <m:rPr>
              <m:sty m:val="p"/>
            </m:rPr>
            <m:t>,</m:t>
          </m:r>
          <m:r>
            <m:t>0180</m:t>
          </m:r>
          <m:r>
            <m:rPr>
              <m:sty m:val="p"/>
            </m:rPr>
            <m:t>,</m:t>
          </m:r>
          <m:r>
            <m:t> </m:t>
          </m:r>
          <m:r>
            <m:rPr>
              <m:sty m:val="p"/>
            </m:rPr>
            <m:t>+</m:t>
          </m:r>
          <m:r>
            <m:t>0</m:t>
          </m:r>
          <m:r>
            <m:rPr>
              <m:sty m:val="p"/>
            </m:rPr>
            <m:t>,</m:t>
          </m:r>
          <m:r>
            <m:t>0482</m:t>
          </m:r>
          <m:r>
            <m:rPr>
              <m:sty m:val="p"/>
            </m:rPr>
            <m:t>]</m:t>
          </m:r>
          <m:r>
            <m:t> </m:t>
          </m:r>
          <m:r>
            <m:rPr>
              <m:nor/>
              <m:sty m:val="p"/>
            </m:rPr>
            <m:t>pp</m:t>
          </m:r>
        </m:oMath>
      </m:oMathPara>
    </w:p>
    <w:p>
      <w:pPr>
        <w:pStyle w:val="FirstParagraph"/>
      </w:pPr>
      <w:r>
        <w:rPr>
          <w:b/>
          <w:bCs/>
          <w:lang w:val="id"/>
        </w:rPr>
        <w:t xml:space="preserve">Signifikan.</w:t>
      </w:r>
      <w:r>
        <w:rPr>
          <w:lang w:val="id"/>
        </w:rPr>
        <w:t xml:space="preserve"> </w:t>
      </w:r>
      <w:r>
        <w:rPr>
          <w:lang w:val="id"/>
        </w:rPr>
        <w:t xml:space="preserve">Selang keyakinan tidak mencakup nol, dan</w:t>
      </w:r>
      <w:r>
        <w:rPr>
          <w:lang w:val="id"/>
        </w:rPr>
        <w:t xml:space="preserve"> </w:t>
      </w:r>
      <m:oMath>
        <m:r>
          <m:t>t</m:t>
        </m:r>
        <m:r>
          <m:rPr>
            <m:sty m:val="p"/>
          </m:rPr>
          <m:t>=</m:t>
        </m:r>
        <m:r>
          <m:t>4</m:t>
        </m:r>
        <m:r>
          <m:rPr>
            <m:sty m:val="p"/>
          </m:rPr>
          <m:t>,</m:t>
        </m:r>
        <m:r>
          <m:t>305</m:t>
        </m:r>
      </m:oMath>
      <w:r>
        <w:rPr>
          <w:lang w:val="id"/>
        </w:rPr>
        <w:t xml:space="preserve"> </w:t>
      </w:r>
      <w:r>
        <w:rPr>
          <w:lang w:val="id"/>
        </w:rPr>
        <w:t xml:space="preserve">melampaui ambang terkoreksi untuk banyak-uji.</w:t>
      </w:r>
    </w:p>
    <w:p>
      <w:pPr>
        <w:pStyle w:val="BodyText"/>
      </w:pPr>
      <w:r>
        <w:rPr>
          <w:b/>
          <w:bCs/>
          <w:lang w:val="id"/>
        </w:rPr>
        <w:t xml:space="preserve">Langkah 4 — uji signifikansi ekonomi. Di sinilah ia gugur.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Kriteria</w:t>
            </w:r>
          </w:p>
        </w:tc>
        <w:tc>
          <w:tcPr/>
          <w:p>
            <w:pPr>
              <w:pStyle w:val="Compact"/>
            </w:pPr>
            <w:r>
              <w:rPr>
                <w:lang w:val="id"/>
              </w:rPr>
              <w:t xml:space="preserve">Hasil</w:t>
            </w:r>
          </w:p>
        </w:tc>
        <w:tc>
          <w:tcPr/>
          <w:p>
            <w:pPr>
              <w:pStyle w:val="Compact"/>
            </w:pPr>
            <w:r>
              <w:rPr>
                <w:lang w:val="id"/>
              </w:rPr>
              <w:t xml:space="preserve">Lolos?</w:t>
            </w:r>
          </w:p>
        </w:tc>
      </w:tr>
      <w:tr>
        <w:tc>
          <w:tcPr/>
          <w:p>
            <w:pPr>
              <w:pStyle w:val="Compact"/>
            </w:pPr>
            <w:r>
              <w:rPr>
                <w:lang w:val="id"/>
              </w:rPr>
              <w:t xml:space="preserve">Signifikan secara statistik</w:t>
            </w:r>
          </w:p>
        </w:tc>
        <w:tc>
          <w:tcPr/>
          <w:p>
            <w:pPr>
              <w:pStyle w:val="Compact"/>
            </w:pPr>
            <m:oMath>
              <m:r>
                <m:t>t</m:t>
              </m:r>
              <m:r>
                <m:rPr>
                  <m:sty m:val="p"/>
                </m:rPr>
                <m:t>=</m:t>
              </m:r>
              <m:r>
                <m:t>4</m:t>
              </m:r>
              <m:r>
                <m:rPr>
                  <m:sty m:val="p"/>
                </m:rPr>
                <m:t>,</m:t>
              </m:r>
              <m:r>
                <m:t>305</m:t>
              </m:r>
            </m:oMath>
            <w:r>
              <w:rPr>
                <w:lang w:val="id"/>
              </w:rPr>
              <w:t xml:space="preserve">​</w:t>
            </w:r>
          </w:p>
        </w:tc>
        <w:tc>
          <w:tcPr/>
          <w:p>
            <w:pPr>
              <w:pStyle w:val="Compact"/>
            </w:pPr>
            <w:r>
              <w:rPr>
                <w:lang w:val="id"/>
              </w:rPr>
              <w:t xml:space="preserve">✓</w:t>
            </w:r>
          </w:p>
        </w:tc>
      </w:tr>
      <w:tr>
        <w:tc>
          <w:tcPr/>
          <w:p>
            <w:pPr>
              <w:pStyle w:val="Compact"/>
            </w:pPr>
            <w:r>
              <w:rPr>
                <w:b/>
                <w:bCs/>
                <w:lang w:val="id"/>
              </w:rPr>
              <w:t xml:space="preserve">Sharpe membaik</w:t>
            </w:r>
          </w:p>
        </w:tc>
        <w:tc>
          <w:tcPr/>
          <w:p>
            <w:pPr>
              <w:pStyle w:val="Compact"/>
            </w:pPr>
            <w:r>
              <w:rPr>
                <w:lang w:val="id"/>
              </w:rPr>
              <w:t xml:space="preserve">0,2865 → 0,2815</w:t>
            </w:r>
          </w:p>
        </w:tc>
        <w:tc>
          <w:tcPr/>
          <w:p>
            <w:pPr>
              <w:pStyle w:val="Compact"/>
            </w:pPr>
            <w:r>
              <w:rPr>
                <w:b/>
                <w:bCs/>
                <w:lang w:val="id"/>
              </w:rPr>
              <w:t xml:space="preserve">✗</w:t>
            </w:r>
          </w:p>
        </w:tc>
      </w:tr>
      <w:tr>
        <w:tc>
          <w:tcPr/>
          <w:p>
            <w:pPr>
              <w:pStyle w:val="Compact"/>
            </w:pPr>
            <w:r>
              <w:rPr>
                <w:b/>
                <w:bCs/>
                <w:lang w:val="id"/>
              </w:rPr>
              <w:t xml:space="preserve">Besaran bermakna setelah biaya</w:t>
            </w:r>
          </w:p>
        </w:tc>
        <w:tc>
          <w:tcPr/>
          <w:p>
            <w:pPr>
              <w:pStyle w:val="Compact"/>
            </w:pPr>
            <w:r>
              <w:rPr>
                <w:lang w:val="id"/>
              </w:rPr>
              <w:t xml:space="preserve">Rp1.655.000/tahun pada portofolio Rp5 miliar</w:t>
            </w:r>
          </w:p>
        </w:tc>
        <w:tc>
          <w:tcPr/>
          <w:p>
            <w:pPr>
              <w:pStyle w:val="Compact"/>
            </w:pPr>
            <w:r>
              <w:rPr>
                <w:b/>
                <w:bCs/>
                <w:lang w:val="id"/>
              </w:rPr>
              <w:t xml:space="preserve">✗</w:t>
            </w:r>
          </w:p>
        </w:tc>
      </w:tr>
      <w:tr>
        <w:tc>
          <w:tcPr/>
          <w:p>
            <w:pPr>
              <w:pStyle w:val="Compact"/>
            </w:pPr>
            <w:r>
              <w:rPr>
                <w:b/>
                <w:bCs/>
                <w:lang w:val="id"/>
              </w:rPr>
              <w:t xml:space="preserve">Menang jelas di atas lemparan koin</w:t>
            </w:r>
          </w:p>
        </w:tc>
        <w:tc>
          <w:tcPr/>
          <w:p>
            <w:pPr>
              <w:pStyle w:val="Compact"/>
            </w:pPr>
            <w:r>
              <w:rPr>
                <w:lang w:val="id"/>
              </w:rPr>
              <w:t xml:space="preserve">53,4% lintasan</w:t>
            </w:r>
          </w:p>
        </w:tc>
        <w:tc>
          <w:tcPr/>
          <w:p>
            <w:pPr>
              <w:pStyle w:val="Compact"/>
            </w:pPr>
            <w:r>
              <w:rPr>
                <w:b/>
                <w:bCs/>
                <w:lang w:val="id"/>
              </w:rPr>
              <w:t xml:space="preserve">✗</w:t>
            </w:r>
          </w:p>
        </w:tc>
      </w:tr>
    </w:tbl>
    <w:p>
      <w:pPr>
        <w:pStyle w:val="BodyText"/>
      </w:pPr>
      <w:r>
        <w:rPr>
          <w:b/>
          <w:bCs/>
          <w:lang w:val="id"/>
        </w:rPr>
        <w:t xml:space="preserve">Langkah 5 — diagnosis sumber kenaikan imbal hasil.</w:t>
      </w:r>
      <w:r>
        <w:rPr>
          <w:lang w:val="id"/>
        </w:rPr>
        <w:t xml:space="preserve"> </w:t>
      </w:r>
      <w:r>
        <w:rPr>
          <w:lang w:val="id"/>
        </w:rPr>
        <w:t xml:space="preserve">Volatilitas naik 0,31 pp sementara imbal hasil naik 0,033 pp. Proses pembangkit data dalam simulasi ini</w:t>
      </w:r>
      <w:r>
        <w:rPr>
          <w:lang w:val="id"/>
        </w:rPr>
        <w:t xml:space="preserve"> </w:t>
      </w:r>
      <w:r>
        <w:rPr>
          <w:b/>
          <w:bCs/>
          <w:lang w:val="id"/>
        </w:rPr>
        <w:t xml:space="preserve">tidak memuat momentum sama sekali</w:t>
      </w:r>
      <w:r>
        <w:rPr>
          <w:lang w:val="id"/>
        </w:rPr>
        <w:t xml:space="preserve"> </w:t>
      </w:r>
      <w:r>
        <w:rPr>
          <w:lang w:val="id"/>
        </w:rPr>
        <w:t xml:space="preserve">— imbal hasilnya bebas antarperiode. Maka kenaikan itu tidak mungkin berasal dari penentuan waktu.</w:t>
      </w:r>
    </w:p>
    <w:p>
      <w:pPr>
        <w:pStyle w:val="BodyText"/>
      </w:pPr>
      <w:r>
        <w:rPr>
          <w:lang w:val="id"/>
        </w:rPr>
        <w:t xml:space="preserve">Yang terjadi: memiringkan ke arah aset dengan momentum 12 bulan terkuat cenderung memiringkan ke arah aset</w:t>
      </w:r>
      <w:r>
        <w:rPr>
          <w:lang w:val="id"/>
        </w:rPr>
        <w:t xml:space="preserve"> </w:t>
      </w:r>
      <w:r>
        <w:rPr>
          <w:b/>
          <w:bCs/>
          <w:lang w:val="id"/>
        </w:rPr>
        <w:t xml:space="preserve">paling bergejolak</w:t>
      </w:r>
      <w:r>
        <w:rPr>
          <w:lang w:val="id"/>
        </w:rPr>
        <w:t xml:space="preserve">, yang dalam rancangan ini juga beraset imbal hasil harapan lebih tinggi.</w:t>
      </w:r>
      <w:r>
        <w:rPr>
          <w:lang w:val="id"/>
        </w:rPr>
        <w:t xml:space="preserve"> </w:t>
      </w:r>
      <w:r>
        <w:rPr>
          <w:b/>
          <w:bCs/>
          <w:lang w:val="id"/>
        </w:rPr>
        <w:t xml:space="preserve">Kenaikan CAGR itu adalah beta yang disamarkan, bukan alfa</w:t>
      </w:r>
      <w:r>
        <w:rPr>
          <w:lang w:val="id"/>
        </w:rPr>
        <w:t xml:space="preserve"> </w:t>
      </w:r>
      <w:r>
        <w:rPr>
          <w:lang w:val="id"/>
        </w:rPr>
        <w:t xml:space="preserve">— dan Sharpe yang turun membuktikannya.</w:t>
      </w:r>
    </w:p>
    <w:p>
      <w:pPr>
        <w:pStyle w:val="BodyText"/>
      </w:pPr>
      <w:r>
        <w:rPr>
          <w:b/>
          <w:bCs/>
          <w:lang w:val="id"/>
        </w:rPr>
        <w:t xml:space="preserve">Langkah 6 — hitung nilai rupiahnya.</w:t>
      </w:r>
    </w:p>
    <w:p>
      <w:pPr>
        <w:pStyle w:val="BodyText"/>
      </w:pPr>
      <m:oMathPara>
        <m:oMathParaPr>
          <m:jc m:val="center"/>
        </m:oMathParaPr>
        <m:oMath>
          <m:r>
            <m:t>0</m:t>
          </m:r>
          <m:r>
            <m:rPr>
              <m:sty m:val="p"/>
            </m:rPr>
            <m:t>,</m:t>
          </m:r>
          <m:r>
            <m:t>0331</m:t>
          </m:r>
          <m:r>
            <m:rPr>
              <m:sty m:val="p"/>
            </m:rPr>
            <m:t>%</m:t>
          </m:r>
          <m:r>
            <m:rPr>
              <m:sty m:val="p"/>
            </m:rPr>
            <m:t>×</m:t>
          </m:r>
          <m:r>
            <m:rPr>
              <m:nor/>
              <m:sty m:val="p"/>
            </m:rPr>
            <m:t>Rp</m:t>
          </m:r>
          <m:r>
            <m:t>5.000</m:t>
          </m:r>
          <m:r>
            <m:t>.000</m:t>
          </m:r>
          <m:r>
            <m:t>.000</m:t>
          </m:r>
          <m:r>
            <m:rPr>
              <m:sty m:val="p"/>
            </m:rPr>
            <m:t>=</m:t>
          </m:r>
          <m:r>
            <m:rPr>
              <m:nor/>
              <m:sty m:val="p"/>
            </m:rPr>
            <m:t>Rp</m:t>
          </m:r>
          <m:r>
            <m:rPr>
              <m:sty m:val="b"/>
            </m:rPr>
            <m:t>1.655</m:t>
          </m:r>
          <m:r>
            <m:rPr>
              <m:sty m:val="b"/>
            </m:rPr>
            <m:t>.000</m:t>
          </m:r>
          <m:r>
            <m:rPr>
              <m:sty m:val="b"/>
            </m:rPr>
            <m:t> </m:t>
          </m:r>
          <m:r>
            <m:rPr>
              <m:nor/>
              <m:sty m:val="p"/>
            </m:rPr>
            <m:t>per tahun</m:t>
          </m:r>
        </m:oMath>
      </m:oMathPara>
    </w:p>
    <w:p>
      <w:pPr>
        <w:pStyle w:val="FirstParagraph"/>
      </w:pPr>
      <w:r>
        <w:rPr>
          <w:lang w:val="id"/>
        </w:rPr>
        <w:t xml:space="preserve">Untuk itu, portofolio menanggung: volatilitas 0,31 pp lebih tinggi, perputaran 3,3 kali lipat, konsekuensi pajak yang menyertainya, dan waktu pemantauan bulanan.</w:t>
      </w:r>
    </w:p>
    <w:p>
      <w:pPr>
        <w:pStyle w:val="BodyText"/>
      </w:pPr>
      <w:r>
        <w:rPr>
          <w:b/>
          <w:bCs/>
          <w:lang w:val="id"/>
        </w:rPr>
        <w:t xml:space="preserve">Langkah 7 — keputusan.</w:t>
      </w:r>
      <w:r>
        <w:rPr>
          <w:lang w:val="id"/>
        </w:rPr>
        <w:t xml:space="preserve"> </w:t>
      </w:r>
      <w:r>
        <w:rPr>
          <w:lang w:val="id"/>
        </w:rPr>
        <w:t xml:space="preserve">TAA ini</w:t>
      </w:r>
      <w:r>
        <w:rPr>
          <w:lang w:val="id"/>
        </w:rPr>
        <w:t xml:space="preserve"> </w:t>
      </w:r>
      <w:r>
        <w:rPr>
          <w:b/>
          <w:bCs/>
          <w:lang w:val="id"/>
        </w:rPr>
        <w:t xml:space="preserve">ditolak.</w:t>
      </w:r>
      <w:r>
        <w:rPr>
          <w:lang w:val="id"/>
        </w:rPr>
        <w:t xml:space="preserve"> </w:t>
      </w:r>
      <w:r>
        <w:rPr>
          <w:lang w:val="id"/>
        </w:rPr>
        <w:t xml:space="preserve">Ia lolos satu dari empat kriteria.</w:t>
      </w:r>
    </w:p>
    <w:p>
      <w:pPr>
        <w:pStyle w:val="BodyText"/>
      </w:pPr>
      <w:r>
        <w:rPr>
          <w:lang w:val="id"/>
        </w:rPr>
        <w:t xml:space="preserve">Dan perhatikan bahwa penolakan ini</w:t>
      </w:r>
      <w:r>
        <w:rPr>
          <w:lang w:val="id"/>
        </w:rPr>
        <w:t xml:space="preserve"> </w:t>
      </w:r>
      <w:r>
        <w:rPr>
          <w:b/>
          <w:bCs/>
          <w:lang w:val="id"/>
        </w:rPr>
        <w:t xml:space="preserve">bukan</w:t>
      </w:r>
      <w:r>
        <w:rPr>
          <w:lang w:val="id"/>
        </w:rPr>
        <w:t xml:space="preserve"> </w:t>
      </w:r>
      <w:r>
        <w:rPr>
          <w:lang w:val="id"/>
        </w:rPr>
        <w:t xml:space="preserve">karena hasilnya tidak signifikan. Ia sangat signifikan. Ia ditolak karena</w:t>
      </w:r>
      <w:r>
        <w:rPr>
          <w:lang w:val="id"/>
        </w:rPr>
        <w:t xml:space="preserve"> </w:t>
      </w:r>
      <w:r>
        <w:rPr>
          <w:b/>
          <w:bCs/>
          <w:lang w:val="id"/>
        </w:rPr>
        <w:t xml:space="preserve">signifikansi statistik bukan signifikansi ekonomi</w:t>
      </w:r>
      <w:r>
        <w:rPr>
          <w:lang w:val="id"/>
        </w:rPr>
        <w:t xml:space="preserve"> </w:t>
      </w:r>
      <w:r>
        <w:rPr>
          <w:lang w:val="id"/>
        </w:rPr>
        <w:t xml:space="preserve">— pelajaran yang diperkenalkan di L2.3 dan di sini muncul dalam bentuknya yang paling murni.</w:t>
      </w:r>
    </w:p>
    <w:p>
      <w:r>
        <w:pict>
          <v:rect style="width:0;height:1.5pt" o:hralign="center" o:hrstd="t" o:hr="t"/>
        </w:pict>
      </w:r>
    </w:p>
    <w:bookmarkEnd w:id="25"/>
    <w:bookmarkEnd w:id="26"/>
    <w:bookmarkEnd w:id="27"/>
    <w:bookmarkStart w:id="34" w:name="lembar-kerja-peserta"/>
    <w:p>
      <w:pPr>
        <w:pStyle w:val="Heading2"/>
      </w:pPr>
      <w:r>
        <w:rPr>
          <w:lang w:val="id"/>
        </w:rPr>
        <w:t xml:space="preserve">6. Lembar Kerja Peserta</w:t>
      </w:r>
    </w:p>
    <w:bookmarkStart w:id="28" w:name="Xa1b1ad650a54049b58494caf8eb2f382e5382b9"/>
    <w:p>
      <w:pPr>
        <w:pStyle w:val="Heading3"/>
      </w:pPr>
      <w:r>
        <w:rPr>
          <w:lang w:val="id"/>
        </w:rPr>
        <w:t xml:space="preserve">Bagian A — Uraikan kontribusi risiko portofolio Anda</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Aset</w:t>
            </w:r>
          </w:p>
        </w:tc>
        <w:tc>
          <w:tcPr/>
          <w:p>
            <w:pPr>
              <w:pStyle w:val="Compact"/>
              <w:jc w:val="right"/>
            </w:pPr>
            <w:r>
              <w:rPr>
                <w:lang w:val="id"/>
              </w:rPr>
              <w:t xml:space="preserve">Bobot uang</w:t>
            </w:r>
          </w:p>
        </w:tc>
        <w:tc>
          <w:tcPr/>
          <w:p>
            <w:pPr>
              <w:pStyle w:val="Compact"/>
              <w:jc w:val="right"/>
            </w:pPr>
            <w:r>
              <w:rPr>
                <w:lang w:val="id"/>
              </w:rPr>
              <w:t xml:space="preserve">σ</w:t>
            </w:r>
          </w:p>
        </w:tc>
        <w:tc>
          <w:tcPr/>
          <w:p>
            <w:pPr>
              <w:pStyle w:val="Compact"/>
              <w:jc w:val="right"/>
            </w:pPr>
            <m:oMath>
              <m:r>
                <m:t>R</m:t>
              </m:r>
              <m:r>
                <m:t>C</m:t>
              </m:r>
            </m:oMath>
            <w:r>
              <w:rPr>
                <w:lang w:val="id"/>
              </w:rPr>
              <w:t xml:space="preserve">​</w:t>
            </w:r>
          </w:p>
        </w:tc>
        <w:tc>
          <w:tcPr/>
          <w:p>
            <w:pPr>
              <w:pStyle w:val="Compact"/>
              <w:jc w:val="right"/>
            </w:pPr>
            <w:r>
              <w:rPr>
                <w:lang w:val="id"/>
              </w:rPr>
              <w:t xml:space="preserve">% dari</w:t>
            </w:r>
            <w:r>
              <w:rPr>
                <w:lang w:val="id"/>
              </w:rPr>
              <w:t xml:space="preserve"> </w:t>
            </w:r>
            <m:oMath>
              <m:sSub>
                <m:e>
                  <m:r>
                    <m:t>σ</m:t>
                  </m:r>
                </m:e>
                <m:sub>
                  <m:r>
                    <m:t>p</m:t>
                  </m:r>
                </m:sub>
              </m:sSub>
            </m:oMath>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lang w:val="id"/>
              </w:rPr>
              <w:t xml:space="preserve">Σ</w:t>
            </w:r>
          </w:p>
        </w:tc>
        <w:tc>
          <w:tcPr/>
          <w:p>
            <w:pPr>
              <w:pStyle w:val="Compact"/>
              <w:jc w:val="right"/>
            </w:pPr>
            <w:r>
              <w:rPr>
                <w:b/>
                <w:bCs/>
                <w:lang w:val="id"/>
              </w:rPr>
              <w:t xml:space="preserve">100%</w:t>
            </w:r>
          </w:p>
        </w:tc>
        <w:tc>
          <w:tcPr/>
          <w:p>
            <w:pPr>
              <w:pStyle w:val="Compact"/>
            </w:pPr>
          </w:p>
        </w:tc>
        <w:tc>
          <w:tcPr/>
          <w:p>
            <w:pPr>
              <w:pStyle w:val="Compact"/>
            </w:pPr>
          </w:p>
        </w:tc>
        <w:tc>
          <w:tcPr/>
          <w:p>
            <w:pPr>
              <w:pStyle w:val="Compact"/>
              <w:jc w:val="right"/>
            </w:pPr>
            <w:r>
              <w:rPr>
                <w:b/>
                <w:bCs/>
                <w:lang w:val="id"/>
              </w:rPr>
              <w:t xml:space="preserve">100%</w:t>
            </w:r>
          </w:p>
        </w:tc>
      </w:tr>
    </w:tbl>
    <w:p>
      <w:pPr>
        <w:pStyle w:val="Compact"/>
        <w:numPr>
          <w:ilvl w:val="0"/>
          <w:numId w:val="1003"/>
        </w:numPr>
      </w:pPr>
      <m:oMath>
        <m:sSub>
          <m:e>
            <m:r>
              <m:t>σ</m:t>
            </m:r>
          </m:e>
          <m:sub>
            <m:r>
              <m:t>p</m:t>
            </m:r>
          </m:sub>
        </m:sSub>
      </m:oMath>
      <w:r>
        <w:rPr>
          <w:lang w:val="id"/>
        </w:rPr>
        <w:t xml:space="preserve"> </w:t>
      </w:r>
      <w:r>
        <w:rPr>
          <w:lang w:val="id"/>
        </w:rPr>
        <w:t xml:space="preserve">= ____ · Periksa: apakah</w:t>
      </w:r>
      <w:r>
        <w:rPr>
          <w:lang w:val="id"/>
        </w:rPr>
        <w:t xml:space="preserve"> </w:t>
      </w:r>
      <m:oMath>
        <m:r>
          <m:rPr>
            <m:sty m:val="p"/>
          </m:rPr>
          <m:t>∑</m:t>
        </m:r>
        <m:r>
          <m:t>R</m:t>
        </m:r>
        <m:r>
          <m:t>C</m:t>
        </m:r>
        <m:r>
          <m:rPr>
            <m:sty m:val="p"/>
          </m:rPr>
          <m:t>=</m:t>
        </m:r>
        <m:sSub>
          <m:e>
            <m:r>
              <m:t>σ</m:t>
            </m:r>
          </m:e>
          <m:sub>
            <m:r>
              <m:t>p</m:t>
            </m:r>
          </m:sub>
        </m:sSub>
      </m:oMath>
      <w:r>
        <w:rPr>
          <w:lang w:val="id"/>
        </w:rPr>
        <w:t xml:space="preserve">? ☐ Ya</w:t>
      </w:r>
    </w:p>
    <w:p>
      <w:pPr>
        <w:pStyle w:val="Compact"/>
        <w:numPr>
          <w:ilvl w:val="0"/>
          <w:numId w:val="1003"/>
        </w:numPr>
      </w:pPr>
      <w:r>
        <w:rPr>
          <w:lang w:val="id"/>
        </w:rPr>
        <w:t xml:space="preserve">Aset dengan kontribusi risiko tertinggi: ____ (____%) · Bobot uangnya: ____%</w:t>
      </w:r>
    </w:p>
    <w:p>
      <w:pPr>
        <w:pStyle w:val="Compact"/>
        <w:numPr>
          <w:ilvl w:val="0"/>
          <w:numId w:val="1003"/>
        </w:numPr>
      </w:pPr>
      <w:r>
        <w:rPr>
          <w:b/>
          <w:bCs/>
          <w:lang w:val="id"/>
        </w:rPr>
        <w:t xml:space="preserve">Apakah saya mengira sedang memegang portofolio ini?</w:t>
      </w:r>
      <w:r>
        <w:rPr>
          <w:lang w:val="id"/>
        </w:rPr>
        <w:t xml:space="preserve"> </w:t>
      </w:r>
      <w:r>
        <w:rPr>
          <w:lang w:val="id"/>
        </w:rPr>
        <w:t xml:space="preserve">☐ Ya ☐ Tidak</w:t>
      </w:r>
    </w:p>
    <w:p>
      <w:pPr>
        <w:pStyle w:val="Compact"/>
        <w:numPr>
          <w:ilvl w:val="0"/>
          <w:numId w:val="1003"/>
        </w:numPr>
      </w:pPr>
      <w:r>
        <w:rPr>
          <w:lang w:val="id"/>
        </w:rPr>
        <w:t xml:space="preserve">Bila Tidak, apa yang saya kira sedang saya pegang? ____</w:t>
      </w:r>
    </w:p>
    <w:bookmarkEnd w:id="28"/>
    <w:bookmarkStart w:id="29" w:name="bagian-b-hitung-bobot-paritas-risiko"/>
    <w:p>
      <w:pPr>
        <w:pStyle w:val="Heading3"/>
      </w:pPr>
      <w:r>
        <w:rPr>
          <w:lang w:val="id"/>
        </w:rPr>
        <w:t xml:space="preserve">Bagian B — Hitung bobot paritas risiko</w:t>
      </w:r>
    </w:p>
    <w:p>
      <w:pPr>
        <w:pStyle w:val="FirstParagraph"/>
      </w:pPr>
      <w:r>
        <w:rPr>
          <w:lang w:val="id"/>
        </w:rPr>
        <w:t xml:space="preserve">Cari bobot yang menyamakan</w:t>
      </w:r>
      <w:r>
        <w:rPr>
          <w:lang w:val="id"/>
        </w:rPr>
        <w:t xml:space="preserve"> </w:t>
      </w:r>
      <m:oMath>
        <m:r>
          <m:t>R</m:t>
        </m:r>
        <m:r>
          <m:t>C</m:t>
        </m:r>
      </m:oMath>
      <w:r>
        <w:rPr>
          <w:lang w:val="id"/>
        </w:rPr>
        <w:t xml:space="preserve"> </w:t>
      </w:r>
      <w:r>
        <w:rPr>
          <w:lang w:val="id"/>
        </w:rPr>
        <w:t xml:space="preserve">dengan iterasi (rumus §4.3).</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Aset</w:t>
            </w:r>
          </w:p>
        </w:tc>
        <w:tc>
          <w:tcPr/>
          <w:p>
            <w:pPr>
              <w:pStyle w:val="Compact"/>
              <w:jc w:val="right"/>
            </w:pPr>
            <w:r>
              <w:rPr>
                <w:lang w:val="id"/>
              </w:rPr>
              <w:t xml:space="preserve">Bobot 1/N</w:t>
            </w:r>
          </w:p>
        </w:tc>
        <w:tc>
          <w:tcPr/>
          <w:p>
            <w:pPr>
              <w:pStyle w:val="Compact"/>
              <w:jc w:val="right"/>
            </w:pPr>
            <m:oMath>
              <m:r>
                <m:t>R</m:t>
              </m:r>
              <m:r>
                <m:t>C</m:t>
              </m:r>
            </m:oMath>
            <w:r>
              <w:rPr>
                <w:lang w:val="id"/>
              </w:rPr>
              <w:t xml:space="preserve"> </w:t>
            </w:r>
            <w:r>
              <w:rPr>
                <w:lang w:val="id"/>
              </w:rPr>
              <w:t xml:space="preserve">1/N</w:t>
            </w:r>
          </w:p>
        </w:tc>
        <w:tc>
          <w:tcPr/>
          <w:p>
            <w:pPr>
              <w:pStyle w:val="Compact"/>
              <w:jc w:val="right"/>
            </w:pPr>
            <w:r>
              <w:rPr>
                <w:lang w:val="id"/>
              </w:rPr>
              <w:t xml:space="preserve">Bobot paritas</w:t>
            </w:r>
          </w:p>
        </w:tc>
        <w:tc>
          <w:tcPr/>
          <w:p>
            <w:pPr>
              <w:pStyle w:val="Compact"/>
              <w:jc w:val="right"/>
            </w:pPr>
            <m:oMath>
              <m:r>
                <m:t>R</m:t>
              </m:r>
              <m:r>
                <m:t>C</m:t>
              </m:r>
            </m:oMath>
            <w:r>
              <w:rPr>
                <w:lang w:val="id"/>
              </w:rPr>
              <w:t xml:space="preserve"> </w:t>
            </w:r>
            <w:r>
              <w:rPr>
                <w:lang w:val="id"/>
              </w:rPr>
              <w:t xml:space="preserve">paritas</w:t>
            </w:r>
          </w:p>
        </w:tc>
      </w:tr>
      <w:tr>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Compact"/>
        <w:numPr>
          <w:ilvl w:val="0"/>
          <w:numId w:val="1004"/>
        </w:numPr>
      </w:pPr>
      <m:oMath>
        <m:sSub>
          <m:e>
            <m:r>
              <m:t>σ</m:t>
            </m:r>
          </m:e>
          <m:sub>
            <m:r>
              <m:t>p</m:t>
            </m:r>
          </m:sub>
        </m:sSub>
      </m:oMath>
      <w:r>
        <w:rPr>
          <w:lang w:val="id"/>
        </w:rPr>
        <w:t xml:space="preserve"> </w:t>
      </w:r>
      <w:r>
        <w:rPr>
          <w:lang w:val="id"/>
        </w:rPr>
        <w:t xml:space="preserve">1/N = ____ ·</w:t>
      </w:r>
      <w:r>
        <w:rPr>
          <w:lang w:val="id"/>
        </w:rPr>
        <w:t xml:space="preserve"> </w:t>
      </w:r>
      <m:oMath>
        <m:sSub>
          <m:e>
            <m:r>
              <m:t>σ</m:t>
            </m:r>
          </m:e>
          <m:sub>
            <m:r>
              <m:t>p</m:t>
            </m:r>
          </m:sub>
        </m:sSub>
      </m:oMath>
      <w:r>
        <w:rPr>
          <w:lang w:val="id"/>
        </w:rPr>
        <w:t xml:space="preserve"> </w:t>
      </w:r>
      <w:r>
        <w:rPr>
          <w:lang w:val="id"/>
        </w:rPr>
        <w:t xml:space="preserve">paritas = ____ · Perbaikan = ____ pp</w:t>
      </w:r>
    </w:p>
    <w:p>
      <w:pPr>
        <w:pStyle w:val="Compact"/>
        <w:numPr>
          <w:ilvl w:val="0"/>
          <w:numId w:val="1004"/>
        </w:numPr>
      </w:pPr>
      <w:r>
        <w:rPr>
          <w:lang w:val="id"/>
        </w:rPr>
        <w:t xml:space="preserve">Bobot total pada dua aset dengan imbal hasil harapan terendah: ____%</w:t>
      </w:r>
    </w:p>
    <w:p>
      <w:pPr>
        <w:pStyle w:val="Compact"/>
        <w:numPr>
          <w:ilvl w:val="0"/>
          <w:numId w:val="1004"/>
        </w:numPr>
      </w:pPr>
      <w:r>
        <w:rPr>
          <w:b/>
          <w:bCs/>
          <w:lang w:val="id"/>
        </w:rPr>
        <w:t xml:space="preserve">Apakah saya bersedia menerima imbal hasil harapan lebih rendah untuk itu?</w:t>
      </w:r>
      <w:r>
        <w:rPr>
          <w:lang w:val="id"/>
        </w:rPr>
        <w:t xml:space="preserve"> </w:t>
      </w:r>
      <w:r>
        <w:rPr>
          <w:lang w:val="id"/>
        </w:rPr>
        <w:t xml:space="preserve">____</w:t>
      </w:r>
    </w:p>
    <w:p>
      <w:pPr>
        <w:pStyle w:val="Compact"/>
        <w:numPr>
          <w:ilvl w:val="0"/>
          <w:numId w:val="1004"/>
        </w:numPr>
      </w:pPr>
      <w:r>
        <w:rPr>
          <w:lang w:val="id"/>
        </w:rPr>
        <w:t xml:space="preserve">Apakah saya akan memakai ungkitan untuk mengatasinya? ☐</w:t>
      </w:r>
      <w:r>
        <w:rPr>
          <w:lang w:val="id"/>
        </w:rPr>
        <w:t xml:space="preserve"> </w:t>
      </w:r>
      <w:r>
        <w:rPr>
          <w:b/>
          <w:bCs/>
          <w:lang w:val="id"/>
        </w:rPr>
        <w:t xml:space="preserve">Tidak</w:t>
      </w:r>
      <w:r>
        <w:rPr>
          <w:lang w:val="id"/>
        </w:rPr>
        <w:t xml:space="preserve"> </w:t>
      </w:r>
      <w:r>
        <w:rPr>
          <w:lang w:val="id"/>
        </w:rPr>
        <w:t xml:space="preserve">☐ Ya → jelaskan risiko pendanaannya: ____</w:t>
      </w:r>
    </w:p>
    <w:bookmarkEnd w:id="29"/>
    <w:bookmarkStart w:id="30" w:name="bagian-c-optimasi-balik"/>
    <w:p>
      <w:pPr>
        <w:pStyle w:val="Heading3"/>
      </w:pPr>
      <w:r>
        <w:rPr>
          <w:lang w:val="id"/>
        </w:rPr>
        <w:t xml:space="preserve">Bagian C — Optimasi balik</w:t>
      </w:r>
    </w:p>
    <w:p>
      <w:pPr>
        <w:pStyle w:val="Compact"/>
        <w:numPr>
          <w:ilvl w:val="0"/>
          <w:numId w:val="1005"/>
        </w:numPr>
      </w:pPr>
      <w:r>
        <w:rPr>
          <w:lang w:val="id"/>
        </w:rPr>
        <w:t xml:space="preserve">Bobot pasar (atau proksinya) yang saya pakai: ____ · Sumber: ____</w:t>
      </w:r>
    </w:p>
    <w:p>
      <w:pPr>
        <w:pStyle w:val="Compact"/>
        <w:numPr>
          <w:ilvl w:val="0"/>
          <w:numId w:val="1005"/>
        </w:numPr>
      </w:pPr>
      <m:oMath>
        <m:sSub>
          <m:e>
            <m:r>
              <m:t>σ</m:t>
            </m:r>
          </m:e>
          <m:sub>
            <m:r>
              <m:t>m</m:t>
            </m:r>
          </m:sub>
        </m:sSub>
      </m:oMath>
      <w:r>
        <w:rPr>
          <w:lang w:val="id"/>
        </w:rPr>
        <w:t xml:space="preserve"> </w:t>
      </w:r>
      <w:r>
        <w:rPr>
          <w:lang w:val="id"/>
        </w:rPr>
        <w:t xml:space="preserve">= ____ · Premi pasar yang saya asumsikan = ____ ·</w:t>
      </w:r>
      <w:r>
        <w:rPr>
          <w:lang w:val="id"/>
        </w:rPr>
        <w:t xml:space="preserve"> </w:t>
      </w:r>
      <m:oMath>
        <m:r>
          <m:t>λ</m:t>
        </m:r>
      </m:oMath>
      <w:r>
        <w:rPr>
          <w:lang w:val="id"/>
        </w:rPr>
        <w:t xml:space="preserve"> </w:t>
      </w:r>
      <w:r>
        <w:rPr>
          <w:lang w:val="id"/>
        </w:rPr>
        <w:t xml:space="preserve">= ____</w:t>
      </w:r>
    </w:p>
    <w:p>
      <w:pPr>
        <w:pStyle w:val="Compact"/>
        <w:numPr>
          <w:ilvl w:val="0"/>
          <w:numId w:val="1005"/>
        </w:numPr>
      </w:pPr>
      <m:oMath>
        <m:r>
          <m:rPr>
            <m:sty m:val="b"/>
          </m:rPr>
          <m:t>Π</m:t>
        </m:r>
      </m:oMath>
      <w:r>
        <w:rPr>
          <w:lang w:val="id"/>
        </w:rPr>
        <w:t xml:space="preserve"> </w:t>
      </w:r>
      <w:r>
        <w:rPr>
          <w:lang w:val="id"/>
        </w:rPr>
        <w:t xml:space="preserve">per aset: ____</w:t>
      </w:r>
    </w:p>
    <w:p>
      <w:pPr>
        <w:pStyle w:val="Compact"/>
        <w:numPr>
          <w:ilvl w:val="0"/>
          <w:numId w:val="1005"/>
        </w:numPr>
      </w:pPr>
      <w:r>
        <w:rPr>
          <w:lang w:val="id"/>
        </w:rPr>
        <w:t xml:space="preserve">Aset yang pandangan saya berbeda dari</w:t>
      </w:r>
      <w:r>
        <w:rPr>
          <w:lang w:val="id"/>
        </w:rPr>
        <w:t xml:space="preserve"> </w:t>
      </w:r>
      <m:oMath>
        <m:r>
          <m:rPr>
            <m:sty m:val="p"/>
          </m:rPr>
          <m:t>Π</m:t>
        </m:r>
      </m:oMath>
      <w:r>
        <w:rPr>
          <w:lang w:val="id"/>
        </w:rPr>
        <w:t xml:space="preserve">: ____ · Selisihnya: ____ pp</w:t>
      </w:r>
    </w:p>
    <w:p>
      <w:pPr>
        <w:pStyle w:val="Compact"/>
        <w:numPr>
          <w:ilvl w:val="0"/>
          <w:numId w:val="1005"/>
        </w:numPr>
      </w:pPr>
      <w:r>
        <w:rPr>
          <w:b/>
          <w:bCs/>
          <w:lang w:val="id"/>
        </w:rPr>
        <w:t xml:space="preserve">Apa yang saya ketahui yang tidak diketahui pasar, yang membenarkan selisih itu?</w:t>
      </w:r>
      <w:r>
        <w:rPr>
          <w:lang w:val="id"/>
        </w:rPr>
        <w:t xml:space="preserve"> </w:t>
      </w:r>
      <w:r>
        <w:rPr>
          <w:lang w:val="id"/>
        </w:rPr>
        <w:t xml:space="preserve">____</w:t>
      </w:r>
    </w:p>
    <w:p>
      <w:pPr>
        <w:pStyle w:val="Compact"/>
        <w:numPr>
          <w:ilvl w:val="0"/>
          <w:numId w:val="1005"/>
        </w:numPr>
      </w:pPr>
      <w:r>
        <w:rPr>
          <w:lang w:val="id"/>
        </w:rPr>
        <w:t xml:space="preserve">Bila saya tidak dapat menjawabnya, pandangan saya yang direvisi: ____</w:t>
      </w:r>
    </w:p>
    <w:bookmarkEnd w:id="30"/>
    <w:bookmarkStart w:id="31" w:name="bagian-d-kebijakan-penyeimbangan-ulang"/>
    <w:p>
      <w:pPr>
        <w:pStyle w:val="Heading3"/>
      </w:pPr>
      <w:r>
        <w:rPr>
          <w:lang w:val="id"/>
        </w:rPr>
        <w:t xml:space="preserve">Bagian D — Kebijakan penyeimbangan ulang</w:t>
      </w:r>
    </w:p>
    <w:p>
      <w:pPr>
        <w:pStyle w:val="Compact"/>
        <w:numPr>
          <w:ilvl w:val="0"/>
          <w:numId w:val="1006"/>
        </w:numPr>
      </w:pPr>
      <w:r>
        <w:rPr>
          <w:lang w:val="id"/>
        </w:rPr>
        <w:t xml:space="preserve">Pita yang saya pilih: ±____ pp · Frekuensi pemeriksaan: ____</w:t>
      </w:r>
    </w:p>
    <w:p>
      <w:pPr>
        <w:pStyle w:val="Compact"/>
        <w:numPr>
          <w:ilvl w:val="0"/>
          <w:numId w:val="1006"/>
        </w:numPr>
      </w:pPr>
      <w:r>
        <w:rPr>
          <w:lang w:val="id"/>
        </w:rPr>
        <w:t xml:space="preserve">Perputaran tahunan yang diharapkan: ____% · Biaya: Rp____</w:t>
      </w:r>
    </w:p>
    <w:p>
      <w:pPr>
        <w:pStyle w:val="Compact"/>
        <w:numPr>
          <w:ilvl w:val="0"/>
          <w:numId w:val="1006"/>
        </w:numPr>
      </w:pPr>
      <w:r>
        <w:rPr>
          <w:lang w:val="id"/>
        </w:rPr>
        <w:t xml:space="preserve">Apakah arus kas masuk diarahkan ke kelas paling kurang bobot? ☐ Ya ☐ Tidak</w:t>
      </w:r>
    </w:p>
    <w:p>
      <w:pPr>
        <w:pStyle w:val="Compact"/>
        <w:numPr>
          <w:ilvl w:val="0"/>
          <w:numId w:val="1006"/>
        </w:numPr>
      </w:pPr>
      <w:r>
        <w:rPr>
          <w:lang w:val="id"/>
        </w:rPr>
        <w:t xml:space="preserve">Pengurangan volatilitas yang saya harapkan: ____ pp</w:t>
      </w:r>
    </w:p>
    <w:p>
      <w:pPr>
        <w:pStyle w:val="Compact"/>
        <w:numPr>
          <w:ilvl w:val="0"/>
          <w:numId w:val="1006"/>
        </w:numPr>
      </w:pPr>
      <w:r>
        <w:rPr>
          <w:b/>
          <w:bCs/>
          <w:lang w:val="id"/>
        </w:rPr>
        <w:t xml:space="preserve">Apakah saya mengklaim adanya</w:t>
      </w:r>
      <w:r>
        <w:rPr>
          <w:b/>
          <w:bCs/>
          <w:lang w:val="id"/>
        </w:rPr>
        <w:t xml:space="preserve"> </w:t>
      </w:r>
      <w:r>
        <w:rPr>
          <w:b/>
          <w:bCs/>
          <w:lang w:val="id"/>
        </w:rPr>
        <w:t xml:space="preserve">“bonus penyeimbangan ulang”</w:t>
      </w:r>
      <w:r>
        <w:rPr>
          <w:b/>
          <w:bCs/>
          <w:lang w:val="id"/>
        </w:rPr>
        <w:t xml:space="preserve">?</w:t>
      </w:r>
      <w:r>
        <w:rPr>
          <w:lang w:val="id"/>
        </w:rPr>
        <w:t xml:space="preserve"> </w:t>
      </w:r>
      <w:r>
        <w:rPr>
          <w:lang w:val="id"/>
        </w:rPr>
        <w:t xml:space="preserve">☐ Tidak ☐ Ya → tunjukkan datanya: ____</w:t>
      </w:r>
    </w:p>
    <w:bookmarkEnd w:id="31"/>
    <w:bookmarkStart w:id="32" w:name="X15e872fa597b957837bfd41f8158efe593a2c95"/>
    <w:p>
      <w:pPr>
        <w:pStyle w:val="Heading3"/>
      </w:pPr>
      <w:r>
        <w:rPr>
          <w:lang w:val="id"/>
        </w:rPr>
        <w:t xml:space="preserve">Bagian E — Uji TAA (wajib bila TAA diizinkan dalam kebijakan Anda)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Kriteria</w:t>
            </w:r>
          </w:p>
        </w:tc>
        <w:tc>
          <w:tcPr/>
          <w:p>
            <w:pPr>
              <w:pStyle w:val="Compact"/>
            </w:pPr>
            <w:r>
              <w:rPr>
                <w:lang w:val="id"/>
              </w:rPr>
              <w:t xml:space="preserve">Hasil saya</w:t>
            </w:r>
          </w:p>
        </w:tc>
        <w:tc>
          <w:tcPr/>
          <w:p>
            <w:pPr>
              <w:pStyle w:val="Compact"/>
            </w:pPr>
            <w:r>
              <w:rPr>
                <w:lang w:val="id"/>
              </w:rPr>
              <w:t xml:space="preserve">Lolos?</w:t>
            </w:r>
          </w:p>
        </w:tc>
      </w:tr>
      <w:tr>
        <w:tc>
          <w:tcPr/>
          <w:p>
            <w:pPr>
              <w:pStyle w:val="Compact"/>
            </w:pPr>
            <w:r>
              <w:rPr>
                <w:lang w:val="id"/>
              </w:rPr>
              <w:t xml:space="preserve">Signifikan secara statistik (</w:t>
            </w:r>
            <m:oMath>
              <m:r>
                <m:t>t</m:t>
              </m:r>
            </m:oMath>
            <w:r>
              <w:rPr>
                <w:lang w:val="id"/>
              </w:rPr>
              <w:t xml:space="preserve"> </w:t>
            </w:r>
            <w:r>
              <w:rPr>
                <w:lang w:val="id"/>
              </w:rPr>
              <w:t xml:space="preserve">atau</w:t>
            </w:r>
            <w:r>
              <w:rPr>
                <w:lang w:val="id"/>
              </w:rPr>
              <w:t xml:space="preserve"> </w:t>
            </w:r>
            <m:oMath>
              <m:r>
                <m:t>z</m:t>
              </m:r>
            </m:oMath>
            <w:r>
              <w:rPr>
                <w:lang w:val="id"/>
              </w:rPr>
              <w:t xml:space="preserve">)</w:t>
            </w:r>
          </w:p>
        </w:tc>
        <w:tc>
          <w:tcPr/>
          <w:p>
            <w:pPr>
              <w:pStyle w:val="Compact"/>
            </w:pPr>
          </w:p>
        </w:tc>
        <w:tc>
          <w:tcPr/>
          <w:p>
            <w:pPr>
              <w:pStyle w:val="Compact"/>
            </w:pPr>
            <w:r>
              <w:rPr>
                <w:lang w:val="id"/>
              </w:rPr>
              <w:t xml:space="preserve">☐</w:t>
            </w:r>
          </w:p>
        </w:tc>
      </w:tr>
      <w:tr>
        <w:tc>
          <w:tcPr/>
          <w:p>
            <w:pPr>
              <w:pStyle w:val="Compact"/>
            </w:pPr>
            <w:r>
              <w:rPr>
                <w:lang w:val="id"/>
              </w:rPr>
              <w:t xml:space="preserve">Sharpe membaik</w:t>
            </w:r>
          </w:p>
        </w:tc>
        <w:tc>
          <w:tcPr/>
          <w:p>
            <w:pPr>
              <w:pStyle w:val="Compact"/>
            </w:pPr>
          </w:p>
        </w:tc>
        <w:tc>
          <w:tcPr/>
          <w:p>
            <w:pPr>
              <w:pStyle w:val="Compact"/>
            </w:pPr>
            <w:r>
              <w:rPr>
                <w:lang w:val="id"/>
              </w:rPr>
              <w:t xml:space="preserve">☐</w:t>
            </w:r>
          </w:p>
        </w:tc>
      </w:tr>
      <w:tr>
        <w:tc>
          <w:tcPr/>
          <w:p>
            <w:pPr>
              <w:pStyle w:val="Compact"/>
            </w:pPr>
            <w:r>
              <w:rPr>
                <w:lang w:val="id"/>
              </w:rPr>
              <w:t xml:space="preserve">Besaran bermakna setelah biaya (Rp/tahun)</w:t>
            </w:r>
          </w:p>
        </w:tc>
        <w:tc>
          <w:tcPr/>
          <w:p>
            <w:pPr>
              <w:pStyle w:val="Compact"/>
            </w:pPr>
          </w:p>
        </w:tc>
        <w:tc>
          <w:tcPr/>
          <w:p>
            <w:pPr>
              <w:pStyle w:val="Compact"/>
            </w:pPr>
            <w:r>
              <w:rPr>
                <w:lang w:val="id"/>
              </w:rPr>
              <w:t xml:space="preserve">☐</w:t>
            </w:r>
          </w:p>
        </w:tc>
      </w:tr>
      <w:tr>
        <w:tc>
          <w:tcPr/>
          <w:p>
            <w:pPr>
              <w:pStyle w:val="Compact"/>
            </w:pPr>
            <w:r>
              <w:rPr>
                <w:lang w:val="id"/>
              </w:rPr>
              <w:t xml:space="preserve">Menang pada &gt;55% periode</w:t>
            </w:r>
          </w:p>
        </w:tc>
        <w:tc>
          <w:tcPr/>
          <w:p>
            <w:pPr>
              <w:pStyle w:val="Compact"/>
            </w:pPr>
          </w:p>
        </w:tc>
        <w:tc>
          <w:tcPr/>
          <w:p>
            <w:pPr>
              <w:pStyle w:val="Compact"/>
            </w:pPr>
            <w:r>
              <w:rPr>
                <w:lang w:val="id"/>
              </w:rPr>
              <w:t xml:space="preserve">☐</w:t>
            </w:r>
          </w:p>
        </w:tc>
      </w:tr>
    </w:tbl>
    <w:p>
      <w:pPr>
        <w:pStyle w:val="BodyText"/>
      </w:pPr>
      <w:r>
        <w:rPr>
          <w:b/>
          <w:bCs/>
          <w:lang w:val="id"/>
        </w:rPr>
        <w:t xml:space="preserve">Bila salah satu tidak lolos, tuliskan:</w:t>
      </w:r>
      <w:r>
        <w:rPr>
          <w:lang w:val="id"/>
        </w:rPr>
        <w:t xml:space="preserve"> </w:t>
      </w:r>
      <w:r>
        <w:rPr>
          <w:i/>
          <w:iCs/>
          <w:lang w:val="id"/>
        </w:rPr>
        <w:t xml:space="preserve">“TAA tidak diizinkan dalam kebijakan saya.”</w:t>
      </w:r>
      <w:r>
        <w:rPr>
          <w:lang w:val="id"/>
        </w:rPr>
        <w:t xml:space="preserve"> </w:t>
      </w:r>
      <w:r>
        <w:rPr>
          <w:lang w:val="id"/>
        </w:rPr>
        <w:t xml:space="preserve">____</w:t>
      </w:r>
    </w:p>
    <w:bookmarkEnd w:id="32"/>
    <w:bookmarkStart w:id="33" w:name="bagian-f-kebijakan-alokasi"/>
    <w:p>
      <w:pPr>
        <w:pStyle w:val="Heading3"/>
      </w:pPr>
      <w:r>
        <w:rPr>
          <w:lang w:val="id"/>
        </w:rPr>
        <w:t xml:space="preserve">Bagian F — Kebijakan Alokasi</w:t>
      </w:r>
    </w:p>
    <w:p>
      <w:pPr>
        <w:pStyle w:val="FirstParagraph"/>
      </w:pPr>
      <w:r>
        <w:rPr>
          <w:lang w:val="id"/>
        </w:rPr>
        <w:t xml:space="preserve">Isi templat §4.8 secara lengkap. Dokumen ini menjadi Bagian 2 dari Pernyataan Kebijakan Investasi pada</w:t>
      </w:r>
      <w:r>
        <w:rPr>
          <w:lang w:val="id"/>
        </w:rPr>
        <w:t xml:space="preserve"> </w:t>
      </w:r>
      <w:r>
        <w:rPr>
          <w:b/>
          <w:bCs/>
          <w:lang w:val="id"/>
        </w:rPr>
        <w:t xml:space="preserve">Proyek Mandat Level 3.</w:t>
      </w:r>
    </w:p>
    <w:p>
      <w:r>
        <w:pict>
          <v:rect style="width:0;height:1.5pt" o:hralign="center" o:hrstd="t" o:hr="t"/>
        </w:pict>
      </w:r>
    </w:p>
    <w:bookmarkEnd w:id="33"/>
    <w:bookmarkEnd w:id="34"/>
    <w:bookmarkStart w:id="35"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7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1 ·</w:t>
      </w:r>
      <w:r>
        <w:rPr>
          <w:i/>
          <w:iCs/>
          <w:lang w:val="id"/>
        </w:rPr>
        <w:t xml:space="preserve"> </w:t>
      </w:r>
      <w:r>
        <w:rPr>
          <w:b/>
          <w:bCs/>
          <w:i/>
          <w:iCs/>
          <w:lang w:val="id"/>
        </w:rPr>
        <w:t xml:space="preserve">C4</w:t>
      </w:r>
      <w:r>
        <w:rPr>
          <w:i/>
          <w:iCs/>
          <w:lang w:val="id"/>
        </w:rPr>
        <w:t xml:space="preserve"> </w:t>
      </w:r>
      <w:r>
        <w:rPr>
          <w:i/>
          <w:iCs/>
          <w:lang w:val="id"/>
        </w:rPr>
        <w:t xml:space="preserve">Menganalisis 9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Compact"/>
        <w:numPr>
          <w:ilvl w:val="0"/>
          <w:numId w:val="1007"/>
        </w:numPr>
      </w:pPr>
      <w:r>
        <w:rPr>
          <w:lang w:val="id"/>
        </w:rPr>
        <w:t xml:space="preserve">Sebutkan empat perbedaan antara SAA dan TAA.</w:t>
      </w:r>
      <w:r>
        <w:rPr>
          <w:lang w:val="id"/>
        </w:rPr>
        <w:t xml:space="preserve"> </w:t>
      </w:r>
      <w:r>
        <w:rPr>
          <w:i/>
          <w:iCs/>
          <w:lang w:val="id"/>
        </w:rPr>
        <w:t xml:space="preserve">(C1)</w:t>
      </w:r>
      <w:r>
        <w:rPr>
          <w:lang w:val="id"/>
        </w:rPr>
        <w:t xml:space="preserve"> </w:t>
      </w:r>
      <w:r>
        <w:rPr>
          <w:i/>
          <w:iCs/>
          <w:lang w:val="id"/>
        </w:rPr>
        <w:t xml:space="preserve">(Kunci: cakrawala; pendorong; frekuensi tinjauan; standar bukti — TAA jauh lebih tinggi)</w:t>
      </w:r>
    </w:p>
    <w:p>
      <w:pPr>
        <w:pStyle w:val="Compact"/>
        <w:numPr>
          <w:ilvl w:val="0"/>
          <w:numId w:val="1007"/>
        </w:numPr>
      </w:pPr>
      <w:r>
        <w:rPr>
          <w:lang w:val="id"/>
        </w:rPr>
        <w:t xml:space="preserve">Mengapa TAA memerlukan standar bukti lebih tinggi daripada SAA?</w:t>
      </w:r>
      <w:r>
        <w:rPr>
          <w:lang w:val="id"/>
        </w:rPr>
        <w:t xml:space="preserve"> </w:t>
      </w:r>
      <w:r>
        <w:rPr>
          <w:i/>
          <w:iCs/>
          <w:lang w:val="id"/>
        </w:rPr>
        <w:t xml:space="preserve">(C2)</w:t>
      </w:r>
      <w:r>
        <w:rPr>
          <w:lang w:val="id"/>
        </w:rPr>
        <w:t xml:space="preserve"> </w:t>
      </w:r>
      <w:r>
        <w:rPr>
          <w:i/>
          <w:iCs/>
          <w:lang w:val="id"/>
        </w:rPr>
        <w:t xml:space="preserve">(Kunci: SAA memanen premi risiko yang tidak memerlukan ramalan; TAA mengklaim dapat mengetahui aset mana yang akan unggul, yaitu klaim keunggulan yang harus diuji)</w:t>
      </w:r>
    </w:p>
    <w:p>
      <w:pPr>
        <w:pStyle w:val="Compact"/>
        <w:numPr>
          <w:ilvl w:val="0"/>
          <w:numId w:val="1007"/>
        </w:numPr>
      </w:pPr>
      <w:r>
        <w:rPr>
          <w:lang w:val="id"/>
        </w:rPr>
        <w:t xml:space="preserve">Tuliskan rumus kontribusi risiko marjinal dan kontribusi risiko total.</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M</m:t>
        </m:r>
        <m:r>
          <m:t>R</m:t>
        </m:r>
        <m:sSub>
          <m:e>
            <m:r>
              <m:t>C</m:t>
            </m:r>
          </m:e>
          <m:sub>
            <m:r>
              <m:t>i</m:t>
            </m:r>
          </m:sub>
        </m:sSub>
        <m:r>
          <m:rPr>
            <m:sty m:val="p"/>
          </m:rPr>
          <m:t>=</m:t>
        </m:r>
        <m:r>
          <m:rPr>
            <m:sty m:val="p"/>
          </m:rPr>
          <m:t>(</m:t>
        </m:r>
        <m:r>
          <m:rPr>
            <m:sty m:val="p"/>
          </m:rPr>
          <m:t>Σ</m:t>
        </m:r>
        <m:r>
          <m:t>w</m:t>
        </m:r>
        <m:sSub>
          <m:e>
            <m:r>
              <m:rPr>
                <m:sty m:val="p"/>
              </m:rPr>
              <m:t>)</m:t>
            </m:r>
          </m:e>
          <m:sub>
            <m:r>
              <m:t>i</m:t>
            </m:r>
          </m:sub>
        </m:sSub>
        <m:r>
          <m:rPr>
            <m:sty m:val="p"/>
          </m:rPr>
          <m:t>/</m:t>
        </m:r>
        <m:sSub>
          <m:e>
            <m:r>
              <m:t>σ</m:t>
            </m:r>
          </m:e>
          <m:sub>
            <m:r>
              <m:t>p</m:t>
            </m:r>
          </m:sub>
        </m:sSub>
      </m:oMath>
      <w:r>
        <w:rPr>
          <w:i/>
          <w:iCs/>
          <w:lang w:val="id"/>
        </w:rPr>
        <w:t xml:space="preserve">;</w:t>
      </w:r>
      <w:r>
        <w:rPr>
          <w:i/>
          <w:iCs/>
          <w:lang w:val="id"/>
        </w:rPr>
        <w:t xml:space="preserve"> </w:t>
      </w:r>
      <m:oMath>
        <m:r>
          <m:t>R</m:t>
        </m:r>
        <m:sSub>
          <m:e>
            <m:r>
              <m:t>C</m:t>
            </m:r>
          </m:e>
          <m:sub>
            <m:r>
              <m:t>i</m:t>
            </m:r>
          </m:sub>
        </m:sSub>
        <m:r>
          <m:rPr>
            <m:sty m:val="p"/>
          </m:rPr>
          <m:t>=</m:t>
        </m:r>
        <m:sSub>
          <m:e>
            <m:r>
              <m:t>w</m:t>
            </m:r>
          </m:e>
          <m:sub>
            <m:r>
              <m:t>i</m:t>
            </m:r>
          </m:sub>
        </m:sSub>
        <m:r>
          <m:rPr>
            <m:sty m:val="p"/>
          </m:rPr>
          <m:t>×</m:t>
        </m:r>
        <m:r>
          <m:t>M</m:t>
        </m:r>
        <m:r>
          <m:t>R</m:t>
        </m:r>
        <m:sSub>
          <m:e>
            <m:r>
              <m:t>C</m:t>
            </m:r>
          </m:e>
          <m:sub>
            <m:r>
              <m:t>i</m:t>
            </m:r>
          </m:sub>
        </m:sSub>
      </m:oMath>
      <w:r>
        <w:rPr>
          <w:i/>
          <w:iCs/>
          <w:lang w:val="id"/>
        </w:rPr>
        <w:t xml:space="preserve">)</w:t>
      </w:r>
    </w:p>
    <w:p>
      <w:pPr>
        <w:pStyle w:val="Compact"/>
        <w:numPr>
          <w:ilvl w:val="0"/>
          <w:numId w:val="1007"/>
        </w:numPr>
      </w:pPr>
      <w:r>
        <w:rPr>
          <w:lang w:val="id"/>
        </w:rPr>
        <w:t xml:space="preserve">Sifat penting apa yang dimiliki</w:t>
      </w:r>
      <w:r>
        <w:rPr>
          <w:lang w:val="id"/>
        </w:rPr>
        <w:t xml:space="preserve"> </w:t>
      </w:r>
      <m:oMath>
        <m:r>
          <m:rPr>
            <m:sty m:val="p"/>
          </m:rPr>
          <m:t>∑</m:t>
        </m:r>
        <m:r>
          <m:t>R</m:t>
        </m:r>
        <m:sSub>
          <m:e>
            <m:r>
              <m:t>C</m:t>
            </m:r>
          </m:e>
          <m:sub>
            <m:r>
              <m:t>i</m:t>
            </m:r>
          </m:sub>
        </m:sSub>
      </m:oMath>
      <w:r>
        <w:rPr>
          <w:lang w:val="id"/>
        </w:rPr>
        <w:t xml:space="preserve">?</w:t>
      </w:r>
      <w:r>
        <w:rPr>
          <w:lang w:val="id"/>
        </w:rPr>
        <w:t xml:space="preserve"> </w:t>
      </w:r>
      <w:r>
        <w:rPr>
          <w:i/>
          <w:iCs/>
          <w:lang w:val="id"/>
        </w:rPr>
        <w:t xml:space="preserve">(C1)</w:t>
      </w:r>
      <w:r>
        <w:rPr>
          <w:lang w:val="id"/>
        </w:rPr>
        <w:t xml:space="preserve"> </w:t>
      </w:r>
      <w:r>
        <w:rPr>
          <w:i/>
          <w:iCs/>
          <w:lang w:val="id"/>
        </w:rPr>
        <w:t xml:space="preserve">(Kunci: menjumlah tepat ke</w:t>
      </w:r>
      <w:r>
        <w:rPr>
          <w:i/>
          <w:iCs/>
          <w:lang w:val="id"/>
        </w:rPr>
        <w:t xml:space="preserve"> </w:t>
      </w:r>
      <m:oMath>
        <m:sSub>
          <m:e>
            <m:r>
              <m:t>σ</m:t>
            </m:r>
          </m:e>
          <m:sub>
            <m:r>
              <m:t>p</m:t>
            </m:r>
          </m:sub>
        </m:sSub>
      </m:oMath>
      <w:r>
        <w:rPr>
          <w:i/>
          <w:iCs/>
          <w:lang w:val="id"/>
        </w:rPr>
        <w:t xml:space="preserve"> </w:t>
      </w:r>
      <w:r>
        <w:rPr>
          <w:i/>
          <w:iCs/>
          <w:lang w:val="id"/>
        </w:rPr>
        <w:t xml:space="preserve">— dekomposisinya persis, bukan pendekatan)</w:t>
      </w:r>
    </w:p>
    <w:p>
      <w:pPr>
        <w:pStyle w:val="Compact"/>
        <w:numPr>
          <w:ilvl w:val="0"/>
          <w:numId w:val="1007"/>
        </w:numPr>
      </w:pPr>
      <w:r>
        <w:rPr>
          <w:lang w:val="id"/>
        </w:rPr>
        <w:t xml:space="preserve">Portofolio 45% DM / 40% obligasi / 15% EM menghasilkan kontribusi risiko 72,9% / 9,1% / 17,9%. Apa kesimpulannya?</w:t>
      </w:r>
      <w:r>
        <w:rPr>
          <w:lang w:val="id"/>
        </w:rPr>
        <w:t xml:space="preserve"> </w:t>
      </w:r>
      <w:r>
        <w:rPr>
          <w:i/>
          <w:iCs/>
          <w:lang w:val="id"/>
        </w:rPr>
        <w:t xml:space="preserve">(C4)</w:t>
      </w:r>
      <w:r>
        <w:rPr>
          <w:lang w:val="id"/>
        </w:rPr>
        <w:t xml:space="preserve"> </w:t>
      </w:r>
      <w:r>
        <w:rPr>
          <w:i/>
          <w:iCs/>
          <w:lang w:val="id"/>
        </w:rPr>
        <w:t xml:space="preserve">(Kunci: portofolio</w:t>
      </w:r>
      <w:r>
        <w:rPr>
          <w:i/>
          <w:iCs/>
          <w:lang w:val="id"/>
        </w:rPr>
        <w:t xml:space="preserve"> </w:t>
      </w:r>
      <w:r>
        <w:rPr>
          <w:i/>
          <w:iCs/>
          <w:lang w:val="id"/>
        </w:rPr>
        <w:t xml:space="preserve">“60/40”</w:t>
      </w:r>
      <w:r>
        <w:rPr>
          <w:i/>
          <w:iCs/>
          <w:lang w:val="id"/>
        </w:rPr>
        <w:t xml:space="preserve"> </w:t>
      </w:r>
      <w:r>
        <w:rPr>
          <w:i/>
          <w:iCs/>
          <w:lang w:val="id"/>
        </w:rPr>
        <w:t xml:space="preserve">adalah 90,8/9,1 dalam risiko; 40% uang di obligasi menyumbang kurang dari sepersepuluh risiko)</w:t>
      </w:r>
    </w:p>
    <w:p>
      <w:pPr>
        <w:pStyle w:val="Compact"/>
        <w:numPr>
          <w:ilvl w:val="0"/>
          <w:numId w:val="1007"/>
        </w:numPr>
      </w:pPr>
      <w:r>
        <w:rPr>
          <w:lang w:val="id"/>
        </w:rPr>
        <w:t xml:space="preserve">Pada 1/N lima aset,</w:t>
      </w:r>
      <w:r>
        <w:rPr>
          <w:lang w:val="id"/>
        </w:rPr>
        <w:t xml:space="preserve"> </w:t>
      </w:r>
      <m:oMath>
        <m:r>
          <m:t>R</m:t>
        </m:r>
        <m:r>
          <m:t>C</m:t>
        </m:r>
      </m:oMath>
      <w:r>
        <w:rPr>
          <w:lang w:val="id"/>
        </w:rPr>
        <w:t xml:space="preserve"> </w:t>
      </w:r>
      <w:r>
        <w:rPr>
          <w:lang w:val="id"/>
        </w:rPr>
        <w:t xml:space="preserve">berkisar 5,8%–35,2%. Apa yang ditunjukkan ini tentang 1/N?</w:t>
      </w:r>
      <w:r>
        <w:rPr>
          <w:lang w:val="id"/>
        </w:rPr>
        <w:t xml:space="preserve"> </w:t>
      </w:r>
      <w:r>
        <w:rPr>
          <w:i/>
          <w:iCs/>
          <w:lang w:val="id"/>
        </w:rPr>
        <w:t xml:space="preserve">(C4)</w:t>
      </w:r>
      <w:r>
        <w:rPr>
          <w:lang w:val="id"/>
        </w:rPr>
        <w:t xml:space="preserve"> </w:t>
      </w:r>
      <w:r>
        <w:rPr>
          <w:i/>
          <w:iCs/>
          <w:lang w:val="id"/>
        </w:rPr>
        <w:t xml:space="preserve">(Kunci: membagi uang rata tidak membagi risiko rata — rentang enam kali lipat; ini cacat 1/N yang disebut L3.1)</w:t>
      </w:r>
    </w:p>
    <w:p>
      <w:pPr>
        <w:pStyle w:val="Compact"/>
        <w:numPr>
          <w:ilvl w:val="0"/>
          <w:numId w:val="1007"/>
        </w:numPr>
      </w:pPr>
      <w:r>
        <w:rPr>
          <w:lang w:val="id"/>
        </w:rPr>
        <w:t xml:space="preserve">Apa syarat bobot paritas risiko?</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R</m:t>
        </m:r>
        <m:sSub>
          <m:e>
            <m:r>
              <m:t>C</m:t>
            </m:r>
          </m:e>
          <m:sub>
            <m:r>
              <m:t>i</m:t>
            </m:r>
          </m:sub>
        </m:sSub>
        <m:r>
          <m:rPr>
            <m:sty m:val="p"/>
          </m:rPr>
          <m:t>=</m:t>
        </m:r>
        <m:sSub>
          <m:e>
            <m:r>
              <m:t>σ</m:t>
            </m:r>
          </m:e>
          <m:sub>
            <m:r>
              <m:t>p</m:t>
            </m:r>
          </m:sub>
        </m:sSub>
        <m:r>
          <m:rPr>
            <m:sty m:val="p"/>
          </m:rPr>
          <m:t>/</m:t>
        </m:r>
        <m:r>
          <m:t>n</m:t>
        </m:r>
      </m:oMath>
      <w:r>
        <w:rPr>
          <w:i/>
          <w:iCs/>
          <w:lang w:val="id"/>
        </w:rPr>
        <w:t xml:space="preserve"> </w:t>
      </w:r>
      <w:r>
        <w:rPr>
          <w:i/>
          <w:iCs/>
          <w:lang w:val="id"/>
        </w:rPr>
        <w:t xml:space="preserve">untuk seluruh</w:t>
      </w:r>
      <w:r>
        <w:rPr>
          <w:i/>
          <w:iCs/>
          <w:lang w:val="id"/>
        </w:rPr>
        <w:t xml:space="preserve"> </w:t>
      </w:r>
      <m:oMath>
        <m:r>
          <m:t>i</m:t>
        </m:r>
      </m:oMath>
      <w:r>
        <w:rPr>
          <w:i/>
          <w:iCs/>
          <w:lang w:val="id"/>
        </w:rPr>
        <w:t xml:space="preserve">)</w:t>
      </w:r>
    </w:p>
    <w:p>
      <w:pPr>
        <w:pStyle w:val="Compact"/>
        <w:numPr>
          <w:ilvl w:val="0"/>
          <w:numId w:val="1007"/>
        </w:numPr>
      </w:pPr>
      <w:r>
        <w:rPr>
          <w:lang w:val="id"/>
        </w:rPr>
        <w:t xml:space="preserve">Mengapa paritas risiko lebih tahan terhadap galat estimasi daripada optimasi rata-rata-varians?</w:t>
      </w:r>
      <w:r>
        <w:rPr>
          <w:lang w:val="id"/>
        </w:rPr>
        <w:t xml:space="preserve"> </w:t>
      </w:r>
      <w:r>
        <w:rPr>
          <w:i/>
          <w:iCs/>
          <w:lang w:val="id"/>
        </w:rPr>
        <w:t xml:space="preserve">(C2)</w:t>
      </w:r>
      <w:r>
        <w:rPr>
          <w:lang w:val="id"/>
        </w:rPr>
        <w:t xml:space="preserve"> </w:t>
      </w:r>
      <w:r>
        <w:rPr>
          <w:i/>
          <w:iCs/>
          <w:lang w:val="id"/>
        </w:rPr>
        <w:t xml:space="preserve">(Kunci: ia hanya memerlukan</w:t>
      </w:r>
      <w:r>
        <w:rPr>
          <w:i/>
          <w:iCs/>
          <w:lang w:val="id"/>
        </w:rPr>
        <w:t xml:space="preserve"> </w:t>
      </w:r>
      <m:oMath>
        <m:r>
          <m:rPr>
            <m:sty m:val="p"/>
          </m:rPr>
          <m:t>Σ</m:t>
        </m:r>
      </m:oMath>
      <w:r>
        <w:rPr>
          <w:i/>
          <w:iCs/>
          <w:lang w:val="id"/>
        </w:rPr>
        <w:t xml:space="preserve">, yang dapat diestimasi dari data frekuensi tinggi; ia tidak memerlukan</w:t>
      </w:r>
      <w:r>
        <w:rPr>
          <w:i/>
          <w:iCs/>
          <w:lang w:val="id"/>
        </w:rPr>
        <w:t xml:space="preserve"> </w:t>
      </w:r>
      <m:oMath>
        <m:r>
          <m:t>μ</m:t>
        </m:r>
      </m:oMath>
      <w:r>
        <w:rPr>
          <w:i/>
          <w:iCs/>
          <w:lang w:val="id"/>
        </w:rPr>
        <w:t xml:space="preserve"> </w:t>
      </w:r>
      <w:r>
        <w:rPr>
          <w:i/>
          <w:iCs/>
          <w:lang w:val="id"/>
        </w:rPr>
        <w:t xml:space="preserve">sama sekali)</w:t>
      </w:r>
    </w:p>
    <w:p>
      <w:pPr>
        <w:pStyle w:val="Compact"/>
        <w:numPr>
          <w:ilvl w:val="0"/>
          <w:numId w:val="1007"/>
        </w:numPr>
      </w:pPr>
      <w:r>
        <w:rPr>
          <w:lang w:val="id"/>
        </w:rPr>
        <w:t xml:space="preserve">Sebutkan bobot paritas risiko dan</w:t>
      </w:r>
      <w:r>
        <w:rPr>
          <w:lang w:val="id"/>
        </w:rPr>
        <w:t xml:space="preserve"> </w:t>
      </w:r>
      <m:oMath>
        <m:sSub>
          <m:e>
            <m:r>
              <m:t>σ</m:t>
            </m:r>
          </m:e>
          <m:sub>
            <m:r>
              <m:t>p</m:t>
            </m:r>
          </m:sub>
        </m:sSub>
      </m:oMath>
      <w:r>
        <w:rPr>
          <w:lang w:val="id"/>
        </w:rPr>
        <w:t xml:space="preserve"> </w:t>
      </w:r>
      <w:r>
        <w:rPr>
          <w:lang w:val="id"/>
        </w:rPr>
        <w:t xml:space="preserve">dari Contoh 1, lalu bandingkan dengan 1/N.</w:t>
      </w:r>
      <w:r>
        <w:rPr>
          <w:lang w:val="id"/>
        </w:rPr>
        <w:t xml:space="preserve"> </w:t>
      </w:r>
      <w:r>
        <w:rPr>
          <w:i/>
          <w:iCs/>
          <w:lang w:val="id"/>
        </w:rPr>
        <w:t xml:space="preserve">(C4)</w:t>
      </w:r>
      <w:r>
        <w:rPr>
          <w:lang w:val="id"/>
        </w:rPr>
        <w:t xml:space="preserve"> </w:t>
      </w:r>
      <w:r>
        <w:rPr>
          <w:i/>
          <w:iCs/>
          <w:lang w:val="id"/>
        </w:rPr>
        <w:t xml:space="preserve">(Kunci: 10,97/34,24/13,15/15,43/26,22;</w:t>
      </w:r>
      <w:r>
        <w:rPr>
          <w:i/>
          <w:iCs/>
          <w:lang w:val="id"/>
        </w:rPr>
        <w:t xml:space="preserve"> </w:t>
      </w:r>
      <m:oMath>
        <m:sSub>
          <m:e>
            <m:r>
              <m:t>σ</m:t>
            </m:r>
          </m:e>
          <m:sub>
            <m:r>
              <m:t>p</m:t>
            </m:r>
          </m:sub>
        </m:sSub>
      </m:oMath>
      <w:r>
        <w:rPr>
          <w:i/>
          <w:iCs/>
          <w:lang w:val="id"/>
        </w:rPr>
        <w:t xml:space="preserve"> </w:t>
      </w:r>
      <w:r>
        <w:rPr>
          <w:i/>
          <w:iCs/>
          <w:lang w:val="id"/>
        </w:rPr>
        <w:t xml:space="preserve">= 7,83% vs 9,85% — perbaikan 2,02 pp)</w:t>
      </w:r>
    </w:p>
    <w:p>
      <w:pPr>
        <w:pStyle w:val="Compact"/>
        <w:numPr>
          <w:ilvl w:val="0"/>
          <w:numId w:val="1007"/>
        </w:numPr>
      </w:pPr>
      <w:r>
        <w:rPr>
          <w:lang w:val="id"/>
        </w:rPr>
        <w:t xml:space="preserve">Sebutkan tiga biaya atau batas paritas risiko.</w:t>
      </w:r>
      <w:r>
        <w:rPr>
          <w:lang w:val="id"/>
        </w:rPr>
        <w:t xml:space="preserve"> </w:t>
      </w:r>
      <w:r>
        <w:rPr>
          <w:i/>
          <w:iCs/>
          <w:lang w:val="id"/>
        </w:rPr>
        <w:t xml:space="preserve">(C1)</w:t>
      </w:r>
      <w:r>
        <w:rPr>
          <w:lang w:val="id"/>
        </w:rPr>
        <w:t xml:space="preserve"> </w:t>
      </w:r>
      <w:r>
        <w:rPr>
          <w:i/>
          <w:iCs/>
          <w:lang w:val="id"/>
        </w:rPr>
        <w:t xml:space="preserve">(Kunci: imbal hasil harapan lebih rendah karena 60,46% pada aset imbal hasil rendah; praktik institusional memakai ungkitan yang membawa risiko pendanaan; mengasumsikan kovarians stabil)</w:t>
      </w:r>
    </w:p>
    <w:p>
      <w:pPr>
        <w:pStyle w:val="Compact"/>
        <w:numPr>
          <w:ilvl w:val="0"/>
          <w:numId w:val="1007"/>
        </w:numPr>
      </w:pPr>
      <w:r>
        <w:rPr>
          <w:lang w:val="id"/>
        </w:rPr>
        <w:t xml:space="preserve">Tuliskan rumus penyusutan estimasi sederhana.</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sSup>
          <m:e>
            <m:acc>
              <m:accPr>
                <m:chr m:val="̂"/>
              </m:accPr>
              <m:e>
                <m:r>
                  <m:t>μ</m:t>
                </m:r>
              </m:e>
            </m:acc>
          </m:e>
          <m:sup>
            <m:r>
              <m:t>s</m:t>
            </m:r>
            <m:r>
              <m:t>u</m:t>
            </m:r>
            <m:r>
              <m:t>s</m:t>
            </m:r>
            <m:r>
              <m:t>u</m:t>
            </m:r>
            <m:r>
              <m:t>t</m:t>
            </m:r>
          </m:sup>
        </m:sSup>
        <m:r>
          <m:rPr>
            <m:sty m:val="p"/>
          </m:rPr>
          <m:t>=</m:t>
        </m:r>
        <m:r>
          <m:rPr>
            <m:sty m:val="p"/>
          </m:rPr>
          <m:t>(</m:t>
        </m:r>
        <m:r>
          <m:t>1</m:t>
        </m:r>
        <m:r>
          <m:rPr>
            <m:sty m:val="p"/>
          </m:rPr>
          <m:t>−</m:t>
        </m:r>
        <m:r>
          <m:t>δ</m:t>
        </m:r>
        <m:r>
          <m:rPr>
            <m:sty m:val="p"/>
          </m:rPr>
          <m:t>)</m:t>
        </m:r>
        <m:acc>
          <m:accPr>
            <m:chr m:val="̂"/>
          </m:accPr>
          <m:e>
            <m:r>
              <m:t>μ</m:t>
            </m:r>
          </m:e>
        </m:acc>
        <m:r>
          <m:rPr>
            <m:sty m:val="p"/>
          </m:rPr>
          <m:t>+</m:t>
        </m:r>
        <m:r>
          <m:t>δ</m:t>
        </m:r>
        <m:acc>
          <m:accPr>
            <m:chr m:val="‾"/>
          </m:accPr>
          <m:e>
            <m:r>
              <m:t>μ</m:t>
            </m:r>
          </m:e>
        </m:acc>
      </m:oMath>
      <w:r>
        <w:rPr>
          <w:i/>
          <w:iCs/>
          <w:lang w:val="id"/>
        </w:rPr>
        <w:t xml:space="preserve">)</w:t>
      </w:r>
    </w:p>
    <w:p>
      <w:pPr>
        <w:pStyle w:val="Compact"/>
        <w:numPr>
          <w:ilvl w:val="0"/>
          <w:numId w:val="1007"/>
        </w:numPr>
      </w:pPr>
      <w:r>
        <w:rPr>
          <w:lang w:val="id"/>
        </w:rPr>
        <w:t xml:space="preserve">Berapa intensitas penyusutan optimal pada Contoh 2, dan berapa perbaikan MSE-nya?</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δ</m:t>
        </m:r>
        <m:r>
          <m:rPr>
            <m:sty m:val="p"/>
          </m:rPr>
          <m:t>≈</m:t>
        </m:r>
        <m:r>
          <m:t>0</m:t>
        </m:r>
        <m:r>
          <m:rPr>
            <m:sty m:val="p"/>
          </m:rPr>
          <m:t>,</m:t>
        </m:r>
        <m:r>
          <m:t>8</m:t>
        </m:r>
      </m:oMath>
      <w:r>
        <w:rPr>
          <w:i/>
          <w:iCs/>
          <w:lang w:val="id"/>
        </w:rPr>
        <w:t xml:space="preserve">; MSE turun 39,0%)</w:t>
      </w:r>
    </w:p>
    <w:p>
      <w:pPr>
        <w:pStyle w:val="Compact"/>
        <w:numPr>
          <w:ilvl w:val="0"/>
          <w:numId w:val="1007"/>
        </w:numPr>
      </w:pPr>
      <w:r>
        <w:rPr>
          <w:lang w:val="id"/>
        </w:rPr>
        <w:t xml:space="preserve">Apa arti operasional</w:t>
      </w:r>
      <w:r>
        <w:rPr>
          <w:lang w:val="id"/>
        </w:rPr>
        <w:t xml:space="preserve"> </w:t>
      </w:r>
      <m:oMath>
        <m:r>
          <m:t>δ</m:t>
        </m:r>
        <m:r>
          <m:rPr>
            <m:sty m:val="p"/>
          </m:rPr>
          <m:t>=</m:t>
        </m:r>
        <m:r>
          <m:t>0</m:t>
        </m:r>
        <m:r>
          <m:rPr>
            <m:sty m:val="p"/>
          </m:rPr>
          <m:t>,</m:t>
        </m:r>
        <m:r>
          <m:t>8</m:t>
        </m:r>
      </m:oMath>
      <w:r>
        <w:rPr>
          <w:lang w:val="id"/>
        </w:rPr>
        <w:t xml:space="preserve">?</w:t>
      </w:r>
      <w:r>
        <w:rPr>
          <w:lang w:val="id"/>
        </w:rPr>
        <w:t xml:space="preserve"> </w:t>
      </w:r>
      <w:r>
        <w:rPr>
          <w:i/>
          <w:iCs/>
          <w:lang w:val="id"/>
        </w:rPr>
        <w:t xml:space="preserve">(C2)</w:t>
      </w:r>
      <w:r>
        <w:rPr>
          <w:lang w:val="id"/>
        </w:rPr>
        <w:t xml:space="preserve"> </w:t>
      </w:r>
      <w:r>
        <w:rPr>
          <w:i/>
          <w:iCs/>
          <w:lang w:val="id"/>
        </w:rPr>
        <w:t xml:space="preserve">(Kunci: hanya 20% keyakinan berasal dari data historis aset itu sendiri; 80% dari rata-rata lintas aset)</w:t>
      </w:r>
    </w:p>
    <w:p>
      <w:pPr>
        <w:pStyle w:val="Compact"/>
        <w:numPr>
          <w:ilvl w:val="0"/>
          <w:numId w:val="1007"/>
        </w:numPr>
      </w:pPr>
      <w:r>
        <w:rPr>
          <w:lang w:val="id"/>
        </w:rPr>
        <w:t xml:space="preserve">Pada</w:t>
      </w:r>
      <w:r>
        <w:rPr>
          <w:lang w:val="id"/>
        </w:rPr>
        <w:t xml:space="preserve"> </w:t>
      </w:r>
      <m:oMath>
        <m:r>
          <m:t>δ</m:t>
        </m:r>
        <m:r>
          <m:rPr>
            <m:sty m:val="p"/>
          </m:rPr>
          <m:t>=</m:t>
        </m:r>
        <m:r>
          <m:t>1</m:t>
        </m:r>
        <m:r>
          <m:rPr>
            <m:sty m:val="p"/>
          </m:rPr>
          <m:t>,</m:t>
        </m:r>
        <m:r>
          <m:t>0</m:t>
        </m:r>
      </m:oMath>
      <w:r>
        <w:rPr>
          <w:lang w:val="id"/>
        </w:rPr>
        <w:t xml:space="preserve"> </w:t>
      </w:r>
      <w:r>
        <w:rPr>
          <w:lang w:val="id"/>
        </w:rPr>
        <w:t xml:space="preserve">MSE masih 31,5% lebih baik daripada</w:t>
      </w:r>
      <w:r>
        <w:rPr>
          <w:lang w:val="id"/>
        </w:rPr>
        <w:t xml:space="preserve"> </w:t>
      </w:r>
      <m:oMath>
        <m:r>
          <m:t>δ</m:t>
        </m:r>
        <m:r>
          <m:rPr>
            <m:sty m:val="p"/>
          </m:rPr>
          <m:t>=</m:t>
        </m:r>
        <m:r>
          <m:t>0</m:t>
        </m:r>
      </m:oMath>
      <w:r>
        <w:rPr>
          <w:lang w:val="id"/>
        </w:rPr>
        <w:t xml:space="preserve">. Apa implikasinya?</w:t>
      </w:r>
      <w:r>
        <w:rPr>
          <w:lang w:val="id"/>
        </w:rPr>
        <w:t xml:space="preserve"> </w:t>
      </w:r>
      <w:r>
        <w:rPr>
          <w:i/>
          <w:iCs/>
          <w:lang w:val="id"/>
        </w:rPr>
        <w:t xml:space="preserve">(C4)</w:t>
      </w:r>
      <w:r>
        <w:rPr>
          <w:lang w:val="id"/>
        </w:rPr>
        <w:t xml:space="preserve"> </w:t>
      </w:r>
      <w:r>
        <w:rPr>
          <w:i/>
          <w:iCs/>
          <w:lang w:val="id"/>
        </w:rPr>
        <w:t xml:space="preserve">(Kunci: mengabaikan rata-rata historis sepenuhnya lebih akurat daripada memakainya — rata-rata 10 tahun memuat sangat sedikit informasi)</w:t>
      </w:r>
    </w:p>
    <w:p>
      <w:pPr>
        <w:pStyle w:val="Compact"/>
        <w:numPr>
          <w:ilvl w:val="0"/>
          <w:numId w:val="1007"/>
        </w:numPr>
      </w:pPr>
      <w:r>
        <w:rPr>
          <w:lang w:val="id"/>
        </w:rPr>
        <w:t xml:space="preserve">RMSE estimasi tanpa penyusutan adalah 4,64 pp. Mengapa angka ini menentukan?</w:t>
      </w:r>
      <w:r>
        <w:rPr>
          <w:lang w:val="id"/>
        </w:rPr>
        <w:t xml:space="preserve"> </w:t>
      </w:r>
      <w:r>
        <w:rPr>
          <w:i/>
          <w:iCs/>
          <w:lang w:val="id"/>
        </w:rPr>
        <w:t xml:space="preserve">(C4)</w:t>
      </w:r>
      <w:r>
        <w:rPr>
          <w:lang w:val="id"/>
        </w:rPr>
        <w:t xml:space="preserve"> </w:t>
      </w:r>
      <w:r>
        <w:rPr>
          <w:i/>
          <w:iCs/>
          <w:lang w:val="id"/>
        </w:rPr>
        <w:t xml:space="preserve">(Kunci: bila imbal hasil harapan sejati berkisar 5,5%–11,5%, galat 4,64 pp berarti estimasi tidak dapat membedakan aset terbaik dari terburuk)</w:t>
      </w:r>
    </w:p>
    <w:p>
      <w:pPr>
        <w:pStyle w:val="Compact"/>
        <w:numPr>
          <w:ilvl w:val="0"/>
          <w:numId w:val="1007"/>
        </w:numPr>
      </w:pPr>
      <w:r>
        <w:rPr>
          <w:lang w:val="id"/>
        </w:rPr>
        <w:t xml:space="preserve">Tuliskan rumus optimasi balik dan jelaskan apa yang dihasilkannya.</w:t>
      </w:r>
      <w:r>
        <w:rPr>
          <w:lang w:val="id"/>
        </w:rPr>
        <w:t xml:space="preserve"> </w:t>
      </w:r>
      <w:r>
        <w:rPr>
          <w:i/>
          <w:iCs/>
          <w:lang w:val="id"/>
        </w:rPr>
        <w:t xml:space="preserve">(C2)</w:t>
      </w:r>
      <w:r>
        <w:rPr>
          <w:lang w:val="id"/>
        </w:rPr>
        <w:t xml:space="preserve"> </w:t>
      </w:r>
      <w:r>
        <w:rPr>
          <w:i/>
          <w:iCs/>
          <w:lang w:val="id"/>
        </w:rPr>
        <w:t xml:space="preserve">(Kunci:</w:t>
      </w:r>
      <w:r>
        <w:rPr>
          <w:i/>
          <w:iCs/>
          <w:lang w:val="id"/>
        </w:rPr>
        <w:t xml:space="preserve"> </w:t>
      </w:r>
      <m:oMath>
        <m:r>
          <m:rPr>
            <m:sty m:val="p"/>
          </m:rPr>
          <m:t>Π</m:t>
        </m:r>
        <m:r>
          <m:rPr>
            <m:sty m:val="p"/>
          </m:rPr>
          <m:t>=</m:t>
        </m:r>
        <m:r>
          <m:t>λ</m:t>
        </m:r>
        <m:r>
          <m:rPr>
            <m:sty m:val="p"/>
          </m:rPr>
          <m:t>Σ</m:t>
        </m:r>
        <m:sSub>
          <m:e>
            <m:r>
              <m:t>w</m:t>
            </m:r>
          </m:e>
          <m:sub>
            <m:r>
              <m:t>p</m:t>
            </m:r>
            <m:r>
              <m:t>a</m:t>
            </m:r>
            <m:r>
              <m:t>s</m:t>
            </m:r>
            <m:r>
              <m:t>a</m:t>
            </m:r>
            <m:r>
              <m:t>r</m:t>
            </m:r>
          </m:sub>
        </m:sSub>
      </m:oMath>
      <w:r>
        <w:rPr>
          <w:i/>
          <w:iCs/>
          <w:lang w:val="id"/>
        </w:rPr>
        <w:t xml:space="preserve">; imbal hasil harapan yang membuat bobot pasar menjadi optimal)</w:t>
      </w:r>
    </w:p>
    <w:p>
      <w:pPr>
        <w:pStyle w:val="Compact"/>
        <w:numPr>
          <w:ilvl w:val="0"/>
          <w:numId w:val="1007"/>
        </w:numPr>
      </w:pPr>
      <w:r>
        <w:rPr>
          <w:lang w:val="id"/>
        </w:rPr>
        <w:t xml:space="preserve">Hitung</w:t>
      </w:r>
      <w:r>
        <w:rPr>
          <w:lang w:val="id"/>
        </w:rPr>
        <w:t xml:space="preserve"> </w:t>
      </w:r>
      <m:oMath>
        <m:r>
          <m:t>λ</m:t>
        </m:r>
      </m:oMath>
      <w:r>
        <w:rPr>
          <w:lang w:val="id"/>
        </w:rPr>
        <w:t xml:space="preserve"> </w:t>
      </w:r>
      <w:r>
        <w:rPr>
          <w:lang w:val="id"/>
        </w:rPr>
        <w:t xml:space="preserve">bila premi pasar 3,47% dan</w:t>
      </w:r>
      <w:r>
        <w:rPr>
          <w:lang w:val="id"/>
        </w:rPr>
        <w:t xml:space="preserve"> </w:t>
      </w:r>
      <m:oMath>
        <m:sSub>
          <m:e>
            <m:r>
              <m:t>σ</m:t>
            </m:r>
          </m:e>
          <m:sub>
            <m:r>
              <m:t>m</m:t>
            </m:r>
          </m:sub>
        </m:sSub>
      </m:oMath>
      <w:r>
        <w:rPr>
          <w:lang w:val="id"/>
        </w:rPr>
        <w:t xml:space="preserve"> </w:t>
      </w:r>
      <w:r>
        <w:rPr>
          <w:lang w:val="id"/>
        </w:rPr>
        <w:t xml:space="preserve">= 11,13%.</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0347</m:t>
        </m:r>
        <m:r>
          <m:rPr>
            <m:sty m:val="p"/>
          </m:rPr>
          <m:t>/</m:t>
        </m:r>
        <m:r>
          <m:t>0</m:t>
        </m:r>
        <m:r>
          <m:rPr>
            <m:sty m:val="p"/>
          </m:rPr>
          <m:t>,</m:t>
        </m:r>
        <m:sSup>
          <m:e>
            <m:r>
              <m:t>1113</m:t>
            </m:r>
          </m:e>
          <m:sup>
            <m:r>
              <m:t>2</m:t>
            </m:r>
          </m:sup>
        </m:sSup>
        <m:r>
          <m:rPr>
            <m:sty m:val="p"/>
          </m:rPr>
          <m:t>=</m:t>
        </m:r>
        <m:r>
          <m:t>0</m:t>
        </m:r>
        <m:r>
          <m:rPr>
            <m:sty m:val="p"/>
          </m:rPr>
          <m:t>,</m:t>
        </m:r>
        <m:r>
          <m:t>0347</m:t>
        </m:r>
        <m:r>
          <m:rPr>
            <m:sty m:val="p"/>
          </m:rPr>
          <m:t>/</m:t>
        </m:r>
        <m:r>
          <m:t>0</m:t>
        </m:r>
        <m:r>
          <m:rPr>
            <m:sty m:val="p"/>
          </m:rPr>
          <m:t>,</m:t>
        </m:r>
        <m:r>
          <m:t>012388</m:t>
        </m:r>
        <m:r>
          <m:rPr>
            <m:sty m:val="p"/>
          </m:rPr>
          <m:t>=</m:t>
        </m:r>
        <m:r>
          <m:t>2</m:t>
        </m:r>
        <m:r>
          <m:rPr>
            <m:sty m:val="p"/>
          </m:rPr>
          <m:t>,</m:t>
        </m:r>
        <m:r>
          <m:t>80</m:t>
        </m:r>
      </m:oMath>
      <w:r>
        <w:rPr>
          <w:i/>
          <w:iCs/>
          <w:lang w:val="id"/>
        </w:rPr>
        <w:t xml:space="preserve">)</w:t>
      </w:r>
    </w:p>
    <w:p>
      <w:pPr>
        <w:pStyle w:val="Compact"/>
        <w:numPr>
          <w:ilvl w:val="0"/>
          <w:numId w:val="1007"/>
        </w:numPr>
      </w:pPr>
      <m:oMath>
        <m:r>
          <m:rPr>
            <m:sty m:val="p"/>
          </m:rPr>
          <m:t>Π</m:t>
        </m:r>
      </m:oMath>
      <w:r>
        <w:rPr>
          <w:lang w:val="id"/>
        </w:rPr>
        <w:t xml:space="preserve"> </w:t>
      </w:r>
      <w:r>
        <w:rPr>
          <w:lang w:val="id"/>
        </w:rPr>
        <w:t xml:space="preserve">saham negara maju 5,87% dan obligasi 0,82%. Bagaimana kedua angka ini harus dibaca?</w:t>
      </w:r>
      <w:r>
        <w:rPr>
          <w:lang w:val="id"/>
        </w:rPr>
        <w:t xml:space="preserve"> </w:t>
      </w:r>
      <w:r>
        <w:rPr>
          <w:i/>
          <w:iCs/>
          <w:lang w:val="id"/>
        </w:rPr>
        <w:t xml:space="preserve">(C4)</w:t>
      </w:r>
      <w:r>
        <w:rPr>
          <w:lang w:val="id"/>
        </w:rPr>
        <w:t xml:space="preserve"> </w:t>
      </w:r>
      <w:r>
        <w:rPr>
          <w:i/>
          <w:iCs/>
          <w:lang w:val="id"/>
        </w:rPr>
        <w:t xml:space="preserve">(Kunci: sebagai pembacaan posisi konsensus — pasar berperilaku seolah-olah mengharapkan premi sebesar itu; bukan ramalan)</w:t>
      </w:r>
    </w:p>
    <w:p>
      <w:pPr>
        <w:pStyle w:val="Compact"/>
        <w:numPr>
          <w:ilvl w:val="0"/>
          <w:numId w:val="1007"/>
        </w:numPr>
      </w:pPr>
      <w:r>
        <w:rPr>
          <w:lang w:val="id"/>
        </w:rPr>
        <w:t xml:space="preserve">Pertanyaan apa yang harus dijawab bila pandangan Anda berbeda dari</w:t>
      </w:r>
      <w:r>
        <w:rPr>
          <w:lang w:val="id"/>
        </w:rPr>
        <w:t xml:space="preserve"> </w:t>
      </w:r>
      <m:oMath>
        <m:r>
          <m:rPr>
            <m:sty m:val="p"/>
          </m:rPr>
          <m:t>Π</m:t>
        </m:r>
      </m:oMath>
      <w:r>
        <w:rPr>
          <w:lang w:val="id"/>
        </w:rPr>
        <w:t xml:space="preserve">?</w:t>
      </w:r>
      <w:r>
        <w:rPr>
          <w:lang w:val="id"/>
        </w:rPr>
        <w:t xml:space="preserve"> </w:t>
      </w:r>
      <w:r>
        <w:rPr>
          <w:i/>
          <w:iCs/>
          <w:lang w:val="id"/>
        </w:rPr>
        <w:t xml:space="preserve">(C5)</w:t>
      </w:r>
      <w:r>
        <w:rPr>
          <w:lang w:val="id"/>
        </w:rPr>
        <w:t xml:space="preserve"> </w:t>
      </w:r>
      <w:r>
        <w:rPr>
          <w:i/>
          <w:iCs/>
          <w:lang w:val="id"/>
        </w:rPr>
        <w:t xml:space="preserve">(Kunci:</w:t>
      </w:r>
      <w:r>
        <w:rPr>
          <w:i/>
          <w:iCs/>
          <w:lang w:val="id"/>
        </w:rPr>
        <w:t xml:space="preserve"> </w:t>
      </w:r>
      <w:r>
        <w:rPr>
          <w:i/>
          <w:iCs/>
          <w:lang w:val="id"/>
        </w:rPr>
        <w:t xml:space="preserve">“apa yang saya ketahui yang tidak diketahui pasar yang membenarkan selisih ini?”</w:t>
      </w:r>
      <w:r>
        <w:rPr>
          <w:i/>
          <w:iCs/>
          <w:lang w:val="id"/>
        </w:rPr>
        <w:t xml:space="preserve"> </w:t>
      </w:r>
      <w:r>
        <w:rPr>
          <w:i/>
          <w:iCs/>
          <w:lang w:val="id"/>
        </w:rPr>
        <w:t xml:space="preserve">— bila tidak terjawab, pandangan harus bergeser ke</w:t>
      </w:r>
      <w:r>
        <w:rPr>
          <w:i/>
          <w:iCs/>
          <w:lang w:val="id"/>
        </w:rPr>
        <w:t xml:space="preserve"> </w:t>
      </w:r>
      <m:oMath>
        <m:r>
          <m:rPr>
            <m:sty m:val="p"/>
          </m:rPr>
          <m:t>Π</m:t>
        </m:r>
      </m:oMath>
      <w:r>
        <w:rPr>
          <w:i/>
          <w:iCs/>
          <w:lang w:val="id"/>
        </w:rPr>
        <w:t xml:space="preserve">)</w:t>
      </w:r>
    </w:p>
    <w:p>
      <w:pPr>
        <w:pStyle w:val="Compact"/>
        <w:numPr>
          <w:ilvl w:val="0"/>
          <w:numId w:val="1007"/>
        </w:numPr>
      </w:pPr>
      <w:r>
        <w:rPr>
          <w:lang w:val="id"/>
        </w:rPr>
        <w:t xml:space="preserve">Apa yang terjadi pada Black-Litterman bila Anda tidak punya pandangan sama sekali?</w:t>
      </w:r>
      <w:r>
        <w:rPr>
          <w:lang w:val="id"/>
        </w:rPr>
        <w:t xml:space="preserve"> </w:t>
      </w:r>
      <w:r>
        <w:rPr>
          <w:i/>
          <w:iCs/>
          <w:lang w:val="id"/>
        </w:rPr>
        <w:t xml:space="preserve">(C2)</w:t>
      </w:r>
      <w:r>
        <w:rPr>
          <w:lang w:val="id"/>
        </w:rPr>
        <w:t xml:space="preserve"> </w:t>
      </w:r>
      <w:r>
        <w:rPr>
          <w:i/>
          <w:iCs/>
          <w:lang w:val="id"/>
        </w:rPr>
        <w:t xml:space="preserve">(Kunci:</w:t>
      </w:r>
      <w:r>
        <w:rPr>
          <w:i/>
          <w:iCs/>
          <w:lang w:val="id"/>
        </w:rPr>
        <w:t xml:space="preserve"> </w:t>
      </w:r>
      <m:oMath>
        <m:sSub>
          <m:e>
            <m:r>
              <m:t>μ</m:t>
            </m:r>
          </m:e>
          <m:sub>
            <m:r>
              <m:t>B</m:t>
            </m:r>
            <m:r>
              <m:t>L</m:t>
            </m:r>
          </m:sub>
        </m:sSub>
        <m:r>
          <m:rPr>
            <m:sty m:val="p"/>
          </m:rPr>
          <m:t>=</m:t>
        </m:r>
        <m:r>
          <m:rPr>
            <m:sty m:val="p"/>
          </m:rPr>
          <m:t>Π</m:t>
        </m:r>
      </m:oMath>
      <w:r>
        <w:rPr>
          <w:i/>
          <w:iCs/>
          <w:lang w:val="id"/>
        </w:rPr>
        <w:t xml:space="preserve"> </w:t>
      </w:r>
      <w:r>
        <w:rPr>
          <w:i/>
          <w:iCs/>
          <w:lang w:val="id"/>
        </w:rPr>
        <w:t xml:space="preserve">dan optimasi mengembalikan tepat bobot pasar — tidak ada ruang bagi derau)</w:t>
      </w:r>
    </w:p>
    <w:p>
      <w:pPr>
        <w:pStyle w:val="Compact"/>
        <w:numPr>
          <w:ilvl w:val="0"/>
          <w:numId w:val="1007"/>
        </w:numPr>
      </w:pPr>
      <w:r>
        <w:rPr>
          <w:lang w:val="id"/>
        </w:rPr>
        <w:t xml:space="preserve">CAGR tanpa penyeimbangan 8,503%, seluruh kebijakan penyeimbangan lebih rendah. Apa yang ini bantah?</w:t>
      </w:r>
      <w:r>
        <w:rPr>
          <w:lang w:val="id"/>
        </w:rPr>
        <w:t xml:space="preserve"> </w:t>
      </w:r>
      <w:r>
        <w:rPr>
          <w:i/>
          <w:iCs/>
          <w:lang w:val="id"/>
        </w:rPr>
        <w:t xml:space="preserve">(C5)</w:t>
      </w:r>
      <w:r>
        <w:rPr>
          <w:lang w:val="id"/>
        </w:rPr>
        <w:t xml:space="preserve"> </w:t>
      </w:r>
      <w:r>
        <w:rPr>
          <w:i/>
          <w:iCs/>
          <w:lang w:val="id"/>
        </w:rPr>
        <w:t xml:space="preserve">(Kunci: klaim</w:t>
      </w:r>
      <w:r>
        <w:rPr>
          <w:i/>
          <w:iCs/>
          <w:lang w:val="id"/>
        </w:rPr>
        <w:t xml:space="preserve"> </w:t>
      </w:r>
      <w:r>
        <w:rPr>
          <w:i/>
          <w:iCs/>
          <w:lang w:val="id"/>
        </w:rPr>
        <w:t xml:space="preserve">“bonus penyeimbangan ulang”</w:t>
      </w:r>
      <w:r>
        <w:rPr>
          <w:i/>
          <w:iCs/>
          <w:lang w:val="id"/>
        </w:rPr>
        <w:t xml:space="preserve"> </w:t>
      </w:r>
      <w:r>
        <w:rPr>
          <w:i/>
          <w:iCs/>
          <w:lang w:val="id"/>
        </w:rPr>
        <w:t xml:space="preserve">— penyeimbangan menurunkan imbal hasil, bukan menaikkannya)</w:t>
      </w:r>
    </w:p>
    <w:p>
      <w:pPr>
        <w:pStyle w:val="Compact"/>
        <w:numPr>
          <w:ilvl w:val="0"/>
          <w:numId w:val="1007"/>
        </w:numPr>
      </w:pPr>
      <w:r>
        <w:rPr>
          <w:lang w:val="id"/>
        </w:rPr>
        <w:t xml:space="preserve">Lalu apa yang sebenarnya dibeli penyeimbangan ulang?</w:t>
      </w:r>
      <w:r>
        <w:rPr>
          <w:lang w:val="id"/>
        </w:rPr>
        <w:t xml:space="preserve"> </w:t>
      </w:r>
      <w:r>
        <w:rPr>
          <w:i/>
          <w:iCs/>
          <w:lang w:val="id"/>
        </w:rPr>
        <w:t xml:space="preserve">(C4)</w:t>
      </w:r>
      <w:r>
        <w:rPr>
          <w:lang w:val="id"/>
        </w:rPr>
        <w:t xml:space="preserve"> </w:t>
      </w:r>
      <w:r>
        <w:rPr>
          <w:i/>
          <w:iCs/>
          <w:lang w:val="id"/>
        </w:rPr>
        <w:t xml:space="preserve">(Kunci: pengendalian risiko — volatilitas turun 1,01 pp; ia alat disiplin, menjaga portofolio tetap seperti yang diputuskan pemiliknya)</w:t>
      </w:r>
    </w:p>
    <w:p>
      <w:pPr>
        <w:pStyle w:val="Compact"/>
        <w:numPr>
          <w:ilvl w:val="0"/>
          <w:numId w:val="1007"/>
        </w:numPr>
      </w:pPr>
      <w:r>
        <w:rPr>
          <w:lang w:val="id"/>
        </w:rPr>
        <w:t xml:space="preserve">Bandingkan ambang 5% dan 10% pada perputaran dan Sharpe.</w:t>
      </w:r>
      <w:r>
        <w:rPr>
          <w:lang w:val="id"/>
        </w:rPr>
        <w:t xml:space="preserve"> </w:t>
      </w:r>
      <w:r>
        <w:rPr>
          <w:i/>
          <w:iCs/>
          <w:lang w:val="id"/>
        </w:rPr>
        <w:t xml:space="preserve">(C4)</w:t>
      </w:r>
      <w:r>
        <w:rPr>
          <w:lang w:val="id"/>
        </w:rPr>
        <w:t xml:space="preserve"> </w:t>
      </w:r>
      <w:r>
        <w:rPr>
          <w:i/>
          <w:iCs/>
          <w:lang w:val="id"/>
        </w:rPr>
        <w:t xml:space="preserve">(Kunci: 3,67% vs 1,87% perputaran (pita lebar 49,0% lebih rendah); Sharpe 0,2777 vs 0,3015 — pita lebar +8,6% dan tertinggi dari keempat kebijakan)</w:t>
      </w:r>
    </w:p>
    <w:p>
      <w:pPr>
        <w:pStyle w:val="Compact"/>
        <w:numPr>
          <w:ilvl w:val="0"/>
          <w:numId w:val="1007"/>
        </w:numPr>
      </w:pPr>
      <w:r>
        <w:rPr>
          <w:lang w:val="id"/>
        </w:rPr>
        <w:t xml:space="preserve">Uji TAA memberi</w:t>
      </w:r>
      <w:r>
        <w:rPr>
          <w:lang w:val="id"/>
        </w:rPr>
        <w:t xml:space="preserve"> </w:t>
      </w:r>
      <m:oMath>
        <m:r>
          <m:t>t</m:t>
        </m:r>
        <m:r>
          <m:rPr>
            <m:sty m:val="p"/>
          </m:rPr>
          <m:t>=</m:t>
        </m:r>
        <m:r>
          <m:t>4</m:t>
        </m:r>
        <m:r>
          <m:rPr>
            <m:sty m:val="p"/>
          </m:rPr>
          <m:t>,</m:t>
        </m:r>
        <m:r>
          <m:t>305</m:t>
        </m:r>
      </m:oMath>
      <w:r>
        <w:rPr>
          <w:lang w:val="id"/>
        </w:rPr>
        <w:t xml:space="preserve"> </w:t>
      </w:r>
      <w:r>
        <w:rPr>
          <w:lang w:val="id"/>
        </w:rPr>
        <w:t xml:space="preserve">tetapi Sharpe turun 0,2865 → 0,2815. Apa kesimpulannya dan mengapa?</w:t>
      </w:r>
      <w:r>
        <w:rPr>
          <w:lang w:val="id"/>
        </w:rPr>
        <w:t xml:space="preserve"> </w:t>
      </w:r>
      <w:r>
        <w:rPr>
          <w:i/>
          <w:iCs/>
          <w:lang w:val="id"/>
        </w:rPr>
        <w:t xml:space="preserve">(C5)</w:t>
      </w:r>
      <w:r>
        <w:rPr>
          <w:lang w:val="id"/>
        </w:rPr>
        <w:t xml:space="preserve"> </w:t>
      </w:r>
      <w:r>
        <w:rPr>
          <w:i/>
          <w:iCs/>
          <w:lang w:val="id"/>
        </w:rPr>
        <w:t xml:space="preserve">(Kunci: signifikan secara statistik, nol secara ekonomi; TAA ditolak karena lolos hanya satu dari empat kriteria)</w:t>
      </w:r>
    </w:p>
    <w:p>
      <w:pPr>
        <w:pStyle w:val="Compact"/>
        <w:numPr>
          <w:ilvl w:val="0"/>
          <w:numId w:val="1007"/>
        </w:numPr>
      </w:pPr>
      <w:r>
        <w:rPr>
          <w:lang w:val="id"/>
        </w:rPr>
        <w:t xml:space="preserve">Volatilitas naik 0,31 pp sementara imbal hasil naik 0,033 pp, pada data tanpa momentum. Dari mana kenaikan itu berasal?</w:t>
      </w:r>
      <w:r>
        <w:rPr>
          <w:lang w:val="id"/>
        </w:rPr>
        <w:t xml:space="preserve"> </w:t>
      </w:r>
      <w:r>
        <w:rPr>
          <w:i/>
          <w:iCs/>
          <w:lang w:val="id"/>
        </w:rPr>
        <w:t xml:space="preserve">(C4)</w:t>
      </w:r>
      <w:r>
        <w:rPr>
          <w:lang w:val="id"/>
        </w:rPr>
        <w:t xml:space="preserve"> </w:t>
      </w:r>
      <w:r>
        <w:rPr>
          <w:i/>
          <w:iCs/>
          <w:lang w:val="id"/>
        </w:rPr>
        <w:t xml:space="preserve">(Kunci: memiringkan ke momentum terkuat memiringkan ke aset paling bergejolak — ini beta yang disamarkan, bukan alfa; Sharpe yang turun membuktikannya)</w:t>
      </w:r>
    </w:p>
    <w:p>
      <w:r>
        <w:pict>
          <v:rect style="width:0;height:1.5pt" o:hralign="center" o:hrstd="t" o:hr="t"/>
        </w:pict>
      </w:r>
    </w:p>
    <w:bookmarkEnd w:id="35"/>
    <w:bookmarkStart w:id="36"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bahwa paritas risiko, penyusutan, dan Black-Litterman adalah tiga jawaban atas satu masalah yang sama</w:t>
            </w:r>
          </w:p>
        </w:tc>
        <w:tc>
          <w:tcPr/>
          <w:p>
            <w:pPr>
              <w:pStyle w:val="Compact"/>
            </w:pPr>
            <w:r>
              <w:rPr>
                <w:lang w:val="id"/>
              </w:rPr>
              <w:t xml:space="preserve">Menguasai ketiga teknik secara terpisah</w:t>
            </w:r>
          </w:p>
        </w:tc>
        <w:tc>
          <w:tcPr/>
          <w:p>
            <w:pPr>
              <w:pStyle w:val="Compact"/>
            </w:pPr>
            <w:r>
              <w:rPr>
                <w:lang w:val="id"/>
              </w:rPr>
              <w:t xml:space="preserve">Menguasai sebagian teknik</w:t>
            </w:r>
          </w:p>
        </w:tc>
        <w:tc>
          <w:tcPr/>
          <w:p>
            <w:pPr>
              <w:pStyle w:val="Compact"/>
            </w:pPr>
            <w:r>
              <w:rPr>
                <w:lang w:val="id"/>
              </w:rPr>
              <w:t xml:space="preserve">Memperlakukan alokasi sebagai pemilihan angka</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Dekomposisi</w:t>
            </w:r>
            <w:r>
              <w:rPr>
                <w:lang w:val="id"/>
              </w:rPr>
              <w:t xml:space="preserve"> </w:t>
            </w:r>
            <m:oMath>
              <m:r>
                <m:t>R</m:t>
              </m:r>
              <m:r>
                <m:t>C</m:t>
              </m:r>
            </m:oMath>
            <w:r>
              <w:rPr>
                <w:lang w:val="id"/>
              </w:rPr>
              <w:t xml:space="preserve">, bobot paritas,</w:t>
            </w:r>
            <w:r>
              <w:rPr>
                <w:lang w:val="id"/>
              </w:rPr>
              <w:t xml:space="preserve"> </w:t>
            </w:r>
            <m:oMath>
              <m:r>
                <m:rPr>
                  <m:sty m:val="p"/>
                </m:rPr>
                <m:t>Π</m:t>
              </m:r>
            </m:oMath>
            <w:r>
              <w:rPr>
                <w:lang w:val="id"/>
              </w:rPr>
              <w:t xml:space="preserve">, dan uji TAA benar dan diperiksa silang (</w:t>
            </w:r>
            <m:oMath>
              <m:r>
                <m:rPr>
                  <m:sty m:val="p"/>
                </m:rPr>
                <m:t>∑</m:t>
              </m:r>
              <m:r>
                <m:t>R</m:t>
              </m:r>
              <m:r>
                <m:t>C</m:t>
              </m:r>
              <m:r>
                <m:rPr>
                  <m:sty m:val="p"/>
                </m:rPr>
                <m:t>=</m:t>
              </m:r>
              <m:sSub>
                <m:e>
                  <m:r>
                    <m:t>σ</m:t>
                  </m:r>
                </m:e>
                <m:sub>
                  <m:r>
                    <m:t>p</m:t>
                  </m:r>
                </m:sub>
              </m:sSub>
            </m:oMath>
            <w:r>
              <w:rPr>
                <w:lang w:val="id"/>
              </w:rPr>
              <w:t xml:space="preserve">)</w:t>
            </w:r>
          </w:p>
        </w:tc>
        <w:tc>
          <w:tcPr/>
          <w:p>
            <w:pPr>
              <w:pStyle w:val="Compact"/>
            </w:pPr>
            <w:r>
              <w:rPr>
                <w:lang w:val="id"/>
              </w:rPr>
              <w:t xml:space="preserve">Benar dengan satu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Kebijakan alokasi koheren dari tujuan sampai pita penyeimbangan, dengan setiap pilihan beralasan kuantitatif</w:t>
            </w:r>
          </w:p>
        </w:tc>
        <w:tc>
          <w:tcPr/>
          <w:p>
            <w:pPr>
              <w:pStyle w:val="Compact"/>
            </w:pPr>
            <w:r>
              <w:rPr>
                <w:lang w:val="id"/>
              </w:rPr>
              <w:t xml:space="preserve">Kebijakan koheren sebagian besar</w:t>
            </w:r>
          </w:p>
        </w:tc>
        <w:tc>
          <w:tcPr/>
          <w:p>
            <w:pPr>
              <w:pStyle w:val="Compact"/>
            </w:pPr>
            <w:r>
              <w:rPr>
                <w:lang w:val="id"/>
              </w:rPr>
              <w:t xml:space="preserve">Komponen ada tetapi tidak terhubung</w:t>
            </w:r>
          </w:p>
        </w:tc>
        <w:tc>
          <w:tcPr/>
          <w:p>
            <w:pPr>
              <w:pStyle w:val="Compact"/>
            </w:pPr>
            <w:r>
              <w:rPr>
                <w:lang w:val="id"/>
              </w:rPr>
              <w:t xml:space="preserve">Tidak ada kebijakan</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m:oMath>
              <m:r>
                <m:t>R</m:t>
              </m:r>
              <m:r>
                <m:t>C</m:t>
              </m:r>
            </m:oMath>
            <w:r>
              <w:rPr>
                <w:lang w:val="id"/>
              </w:rPr>
              <w:t xml:space="preserve"> </w:t>
            </w:r>
            <w:r>
              <w:rPr>
                <w:lang w:val="id"/>
              </w:rPr>
              <w:t xml:space="preserve">diuraikan; portofolio diuji pada korelasi tertekan; ambang penurunan ditetapkan lebih dahulu; ungkitan ditolak atau risikonya dikuantifikasi</w:t>
            </w:r>
          </w:p>
        </w:tc>
        <w:tc>
          <w:tcPr/>
          <w:p>
            <w:pPr>
              <w:pStyle w:val="Compact"/>
            </w:pPr>
            <w:r>
              <w:rPr>
                <w:lang w:val="id"/>
              </w:rPr>
              <w:t xml:space="preserve">Risiko diuraikan memadai</w:t>
            </w:r>
          </w:p>
        </w:tc>
        <w:tc>
          <w:tcPr/>
          <w:p>
            <w:pPr>
              <w:pStyle w:val="Compact"/>
            </w:pPr>
            <w:r>
              <w:rPr>
                <w:lang w:val="id"/>
              </w:rPr>
              <w:t xml:space="preserve">Risiko disebut tanpa dekomposisi</w:t>
            </w:r>
          </w:p>
        </w:tc>
        <w:tc>
          <w:tcPr/>
          <w:p>
            <w:pPr>
              <w:pStyle w:val="Compact"/>
            </w:pPr>
            <w:r>
              <w:rPr>
                <w:b/>
                <w:bCs/>
                <w:lang w:val="id"/>
              </w:rPr>
              <w:t xml:space="preserve">Bobot uang dilaporkan sebagai bobot risiko, atau ungkitan dipakai tanpa analisis risiko pendanaan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Kebijakan tertulis mengikat; TAA diuji keempat kriteria dan ditolak bila gagal; aturan perubahan SAA ditulis lebih dahulu</w:t>
            </w:r>
          </w:p>
        </w:tc>
        <w:tc>
          <w:tcPr/>
          <w:p>
            <w:pPr>
              <w:pStyle w:val="Compact"/>
            </w:pPr>
            <w:r>
              <w:rPr>
                <w:lang w:val="id"/>
              </w:rPr>
              <w:t xml:space="preserve">Kebijakan tertulis lengkap</w:t>
            </w:r>
          </w:p>
        </w:tc>
        <w:tc>
          <w:tcPr/>
          <w:p>
            <w:pPr>
              <w:pStyle w:val="Compact"/>
            </w:pPr>
            <w:r>
              <w:rPr>
                <w:lang w:val="id"/>
              </w:rPr>
              <w:t xml:space="preserve">Kebijakan sebagian tertulis</w:t>
            </w:r>
          </w:p>
        </w:tc>
        <w:tc>
          <w:tcPr/>
          <w:p>
            <w:pPr>
              <w:pStyle w:val="Compact"/>
            </w:pPr>
            <w:r>
              <w:rPr>
                <w:b/>
                <w:bCs/>
                <w:lang w:val="id"/>
              </w:rPr>
              <w:t xml:space="preserve">TAA dipakai tanpa lolos keempat kriteria, atau SAA diubah karena kinerja jangka pendek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Membedakan signifikansi statistik dan ekonomi tanpa diminta; melaporkan biaya teknik yang dipilihnya</w:t>
            </w:r>
          </w:p>
        </w:tc>
        <w:tc>
          <w:tcPr/>
          <w:p>
            <w:pPr>
              <w:pStyle w:val="Compact"/>
            </w:pPr>
            <w:r>
              <w:rPr>
                <w:lang w:val="id"/>
              </w:rPr>
              <w:t xml:space="preserve">Pelaporan jujur</w:t>
            </w:r>
          </w:p>
        </w:tc>
        <w:tc>
          <w:tcPr/>
          <w:p>
            <w:pPr>
              <w:pStyle w:val="Compact"/>
            </w:pPr>
            <w:r>
              <w:rPr>
                <w:lang w:val="id"/>
              </w:rPr>
              <w:t xml:space="preserve">Pelaporan kurang lengkap</w:t>
            </w:r>
          </w:p>
        </w:tc>
        <w:tc>
          <w:tcPr/>
          <w:p>
            <w:pPr>
              <w:pStyle w:val="Compact"/>
            </w:pPr>
            <w:r>
              <w:rPr>
                <w:lang w:val="id"/>
              </w:rPr>
              <w:t xml:space="preserve">Mengklaim bonus penyeimbangan ulang, atau menyajikan hasil signifikan sebagai layak pakai tanpa uji ekonomi</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mengusulkan paritas risiko</w:t>
      </w:r>
      <w:r>
        <w:rPr>
          <w:lang w:val="id"/>
        </w:rPr>
        <w:t xml:space="preserve"> </w:t>
      </w:r>
      <w:r>
        <w:rPr>
          <w:b/>
          <w:bCs/>
          <w:lang w:val="id"/>
        </w:rPr>
        <w:t xml:space="preserve">tanpa</w:t>
      </w:r>
      <w:r>
        <w:rPr>
          <w:lang w:val="id"/>
        </w:rPr>
        <w:t xml:space="preserve"> </w:t>
      </w:r>
      <w:r>
        <w:rPr>
          <w:lang w:val="id"/>
        </w:rPr>
        <w:t xml:space="preserve">menyebutkan bahwa ia memberi 60,46% bobot pada dua aset berimbal hasil terendah dinilai maksimum</w:t>
      </w:r>
      <w:r>
        <w:rPr>
          <w:lang w:val="id"/>
        </w:rPr>
        <w:t xml:space="preserve"> </w:t>
      </w:r>
      <w:r>
        <w:rPr>
          <w:b/>
          <w:bCs/>
          <w:lang w:val="id"/>
        </w:rPr>
        <w:t xml:space="preserve">2</w:t>
      </w:r>
      <w:r>
        <w:rPr>
          <w:lang w:val="id"/>
        </w:rPr>
        <w:t xml:space="preserve"> </w:t>
      </w:r>
      <w:r>
        <w:rPr>
          <w:lang w:val="id"/>
        </w:rPr>
        <w:t xml:space="preserve">pada D6. Menyajikan teknik hanya dengan manfaatnya adalah bentuk ketidakjujuran yang paling umum dalam pekerjaan alokasi.</w:t>
      </w:r>
    </w:p>
    <w:p>
      <w:r>
        <w:pict>
          <v:rect style="width:0;height:1.5pt" o:hralign="center" o:hrstd="t" o:hr="t"/>
        </w:pict>
      </w:r>
    </w:p>
    <w:bookmarkEnd w:id="36"/>
    <w:bookmarkStart w:id="42" w:name="panduan-fasilitator"/>
    <w:p>
      <w:pPr>
        <w:pStyle w:val="Heading2"/>
      </w:pPr>
      <w:r>
        <w:rPr>
          <w:lang w:val="id"/>
        </w:rPr>
        <w:t xml:space="preserve">9. Panduan Fasilitator</w:t>
      </w:r>
    </w:p>
    <w:bookmarkStart w:id="37" w:name="alokasi-waktu-18-jp"/>
    <w:p>
      <w:pPr>
        <w:pStyle w:val="Heading3"/>
      </w:pPr>
      <w:r>
        <w:rPr>
          <w:lang w:val="id"/>
        </w:rPr>
        <w:t xml:space="preserve">Alokasi waktu (18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SAA vs TAA dan standar bukti</w:t>
            </w:r>
          </w:p>
        </w:tc>
        <w:tc>
          <w:tcPr/>
          <w:p>
            <w:pPr>
              <w:pStyle w:val="Compact"/>
              <w:jc w:val="right"/>
            </w:pPr>
            <w:r>
              <w:rPr>
                <w:lang w:val="id"/>
              </w:rPr>
              <w:t xml:space="preserve">1,5</w:t>
            </w:r>
          </w:p>
        </w:tc>
      </w:tr>
      <w:tr>
        <w:tc>
          <w:tcPr/>
          <w:p>
            <w:pPr>
              <w:pStyle w:val="Compact"/>
            </w:pPr>
            <w:r>
              <w:rPr>
                <w:lang w:val="id"/>
              </w:rPr>
              <w:t xml:space="preserve">2</w:t>
            </w:r>
          </w:p>
        </w:tc>
        <w:tc>
          <w:tcPr/>
          <w:p>
            <w:pPr>
              <w:pStyle w:val="Compact"/>
            </w:pPr>
            <w:r>
              <w:rPr>
                <w:lang w:val="id"/>
              </w:rPr>
              <w:t xml:space="preserve">§4.2 Dekomposisi kontribusi risiko; Contoh 1 Langkah 1–2 dan 6</w:t>
            </w:r>
          </w:p>
        </w:tc>
        <w:tc>
          <w:tcPr/>
          <w:p>
            <w:pPr>
              <w:pStyle w:val="Compact"/>
              <w:jc w:val="right"/>
            </w:pPr>
            <w:r>
              <w:rPr>
                <w:lang w:val="id"/>
              </w:rPr>
              <w:t xml:space="preserve">2,5</w:t>
            </w:r>
          </w:p>
        </w:tc>
      </w:tr>
      <w:tr>
        <w:tc>
          <w:tcPr/>
          <w:p>
            <w:pPr>
              <w:pStyle w:val="Compact"/>
            </w:pPr>
            <w:r>
              <w:rPr>
                <w:lang w:val="id"/>
              </w:rPr>
              <w:t xml:space="preserve">3</w:t>
            </w:r>
          </w:p>
        </w:tc>
        <w:tc>
          <w:tcPr/>
          <w:p>
            <w:pPr>
              <w:pStyle w:val="Compact"/>
            </w:pPr>
            <w:r>
              <w:rPr>
                <w:lang w:val="id"/>
              </w:rPr>
              <w:t xml:space="preserve">§4.3 Paritas risiko; Contoh 1 Langkah 3–5</w:t>
            </w:r>
          </w:p>
        </w:tc>
        <w:tc>
          <w:tcPr/>
          <w:p>
            <w:pPr>
              <w:pStyle w:val="Compact"/>
              <w:jc w:val="right"/>
            </w:pPr>
            <w:r>
              <w:rPr>
                <w:lang w:val="id"/>
              </w:rPr>
              <w:t xml:space="preserve">2,5</w:t>
            </w:r>
          </w:p>
        </w:tc>
      </w:tr>
      <w:tr>
        <w:tc>
          <w:tcPr/>
          <w:p>
            <w:pPr>
              <w:pStyle w:val="Compact"/>
            </w:pPr>
            <w:r>
              <w:rPr>
                <w:lang w:val="id"/>
              </w:rPr>
              <w:t xml:space="preserve">4</w:t>
            </w:r>
          </w:p>
        </w:tc>
        <w:tc>
          <w:tcPr/>
          <w:p>
            <w:pPr>
              <w:pStyle w:val="Compact"/>
            </w:pPr>
            <w:r>
              <w:rPr>
                <w:lang w:val="id"/>
              </w:rPr>
              <w:t xml:space="preserve">§4.4 Penyusutan estimasi; Contoh 2</w:t>
            </w:r>
          </w:p>
        </w:tc>
        <w:tc>
          <w:tcPr/>
          <w:p>
            <w:pPr>
              <w:pStyle w:val="Compact"/>
              <w:jc w:val="right"/>
            </w:pPr>
            <w:r>
              <w:rPr>
                <w:lang w:val="id"/>
              </w:rPr>
              <w:t xml:space="preserve">2,5</w:t>
            </w:r>
          </w:p>
        </w:tc>
      </w:tr>
      <w:tr>
        <w:tc>
          <w:tcPr/>
          <w:p>
            <w:pPr>
              <w:pStyle w:val="Compact"/>
            </w:pPr>
            <w:r>
              <w:rPr>
                <w:lang w:val="id"/>
              </w:rPr>
              <w:t xml:space="preserve">5</w:t>
            </w:r>
          </w:p>
        </w:tc>
        <w:tc>
          <w:tcPr/>
          <w:p>
            <w:pPr>
              <w:pStyle w:val="Compact"/>
            </w:pPr>
            <w:r>
              <w:rPr>
                <w:lang w:val="id"/>
              </w:rPr>
              <w:t xml:space="preserve">§4.5 Optimasi balik dan Black-Litterman; Contoh 3</w:t>
            </w:r>
          </w:p>
        </w:tc>
        <w:tc>
          <w:tcPr/>
          <w:p>
            <w:pPr>
              <w:pStyle w:val="Compact"/>
              <w:jc w:val="right"/>
            </w:pPr>
            <w:r>
              <w:rPr>
                <w:lang w:val="id"/>
              </w:rPr>
              <w:t xml:space="preserve">3</w:t>
            </w:r>
          </w:p>
        </w:tc>
      </w:tr>
      <w:tr>
        <w:tc>
          <w:tcPr/>
          <w:p>
            <w:pPr>
              <w:pStyle w:val="Compact"/>
            </w:pPr>
            <w:r>
              <w:rPr>
                <w:lang w:val="id"/>
              </w:rPr>
              <w:t xml:space="preserve">6</w:t>
            </w:r>
          </w:p>
        </w:tc>
        <w:tc>
          <w:tcPr/>
          <w:p>
            <w:pPr>
              <w:pStyle w:val="Compact"/>
            </w:pPr>
            <w:r>
              <w:rPr>
                <w:lang w:val="id"/>
              </w:rPr>
              <w:t xml:space="preserve">§4.6 Penyeimbangan ulang; Contoh 4 Bagian A</w:t>
            </w:r>
          </w:p>
        </w:tc>
        <w:tc>
          <w:tcPr/>
          <w:p>
            <w:pPr>
              <w:pStyle w:val="Compact"/>
              <w:jc w:val="right"/>
            </w:pPr>
            <w:r>
              <w:rPr>
                <w:lang w:val="id"/>
              </w:rPr>
              <w:t xml:space="preserve">2</w:t>
            </w:r>
          </w:p>
        </w:tc>
      </w:tr>
      <w:tr>
        <w:tc>
          <w:tcPr/>
          <w:p>
            <w:pPr>
              <w:pStyle w:val="Compact"/>
            </w:pPr>
            <w:r>
              <w:rPr>
                <w:lang w:val="id"/>
              </w:rPr>
              <w:t xml:space="preserve">7</w:t>
            </w:r>
          </w:p>
        </w:tc>
        <w:tc>
          <w:tcPr/>
          <w:p>
            <w:pPr>
              <w:pStyle w:val="Compact"/>
            </w:pPr>
            <w:r>
              <w:rPr>
                <w:lang w:val="id"/>
              </w:rPr>
              <w:t xml:space="preserve">§4.7 Uji TAA; Contoh 4 Bagian B —</w:t>
            </w:r>
            <w:r>
              <w:rPr>
                <w:lang w:val="id"/>
              </w:rPr>
              <w:t xml:space="preserve"> </w:t>
            </w:r>
            <w:r>
              <w:rPr>
                <w:b/>
                <w:bCs/>
                <w:lang w:val="id"/>
              </w:rPr>
              <w:t xml:space="preserve">sesi kunci</w:t>
            </w:r>
          </w:p>
        </w:tc>
        <w:tc>
          <w:tcPr/>
          <w:p>
            <w:pPr>
              <w:pStyle w:val="Compact"/>
              <w:jc w:val="right"/>
            </w:pPr>
            <w:r>
              <w:rPr>
                <w:lang w:val="id"/>
              </w:rPr>
              <w:t xml:space="preserve">2</w:t>
            </w:r>
          </w:p>
        </w:tc>
      </w:tr>
      <w:tr>
        <w:tc>
          <w:tcPr/>
          <w:p>
            <w:pPr>
              <w:pStyle w:val="Compact"/>
            </w:pPr>
            <w:r>
              <w:rPr>
                <w:lang w:val="id"/>
              </w:rPr>
              <w:t xml:space="preserve">8</w:t>
            </w:r>
          </w:p>
        </w:tc>
        <w:tc>
          <w:tcPr/>
          <w:p>
            <w:pPr>
              <w:pStyle w:val="Compact"/>
            </w:pPr>
            <w:r>
              <w:rPr>
                <w:lang w:val="id"/>
              </w:rPr>
              <w:t xml:space="preserve">Asesmen: Bank Soal + presentasi Kebijakan Alokasi</w:t>
            </w:r>
          </w:p>
        </w:tc>
        <w:tc>
          <w:tcPr/>
          <w:p>
            <w:pPr>
              <w:pStyle w:val="Compact"/>
              <w:jc w:val="right"/>
            </w:pPr>
            <w:r>
              <w:rPr>
                <w:lang w:val="id"/>
              </w:rPr>
              <w:t xml:space="preserve">2</w:t>
            </w:r>
          </w:p>
        </w:tc>
      </w:tr>
    </w:tbl>
    <w:bookmarkEnd w:id="37"/>
    <w:bookmarkStart w:id="38" w:name="urutan-yang-disarankan"/>
    <w:p>
      <w:pPr>
        <w:pStyle w:val="Heading3"/>
      </w:pPr>
      <w:r>
        <w:rPr>
          <w:lang w:val="id"/>
        </w:rPr>
        <w:t xml:space="preserve">Urutan yang disarankan</w:t>
      </w:r>
    </w:p>
    <w:p>
      <w:pPr>
        <w:pStyle w:val="FirstParagraph"/>
      </w:pPr>
      <w:r>
        <w:rPr>
          <w:b/>
          <w:bCs/>
          <w:lang w:val="id"/>
        </w:rPr>
        <w:t xml:space="preserve">Sesi 2 harus dibuka dengan pertanyaan, bukan rumus.</w:t>
      </w:r>
      <w:r>
        <w:rPr>
          <w:lang w:val="id"/>
        </w:rPr>
        <w:t xml:space="preserve"> </w:t>
      </w:r>
      <w:r>
        <w:rPr>
          <w:lang w:val="id"/>
        </w:rPr>
        <w:t xml:space="preserve">Tanyakan:</w:t>
      </w:r>
      <w:r>
        <w:rPr>
          <w:lang w:val="id"/>
        </w:rPr>
        <w:t xml:space="preserve"> </w:t>
      </w:r>
      <w:r>
        <w:rPr>
          <w:i/>
          <w:iCs/>
          <w:lang w:val="id"/>
        </w:rPr>
        <w:t xml:space="preserve">“Berapa persen risiko portofolio 60/40 Anda yang berasal dari saham?”</w:t>
      </w:r>
      <w:r>
        <w:rPr>
          <w:lang w:val="id"/>
        </w:rPr>
        <w:t xml:space="preserve"> </w:t>
      </w:r>
      <w:r>
        <w:rPr>
          <w:lang w:val="id"/>
        </w:rPr>
        <w:t xml:space="preserve">Catat tebakan peserta di papan. Tebakan tipikal berkisar 60–70%. Lalu hitung bersama:</w:t>
      </w:r>
      <w:r>
        <w:rPr>
          <w:lang w:val="id"/>
        </w:rPr>
        <w:t xml:space="preserve"> </w:t>
      </w:r>
      <w:r>
        <w:rPr>
          <w:b/>
          <w:bCs/>
          <w:lang w:val="id"/>
        </w:rPr>
        <w:t xml:space="preserve">90,8%.</w:t>
      </w:r>
    </w:p>
    <w:p>
      <w:pPr>
        <w:pStyle w:val="BodyText"/>
      </w:pPr>
      <w:r>
        <w:rPr>
          <w:lang w:val="id"/>
        </w:rPr>
        <w:t xml:space="preserve">Selisih antara tebakan dan hasil itu adalah pembuka terbaik untuk seluruh modul. Ia menunjukkan bahwa peserta selama ini membaca portofolio dalam satuan yang salah.</w:t>
      </w:r>
    </w:p>
    <w:p>
      <w:pPr>
        <w:pStyle w:val="BodyText"/>
      </w:pPr>
      <w:r>
        <w:rPr>
          <w:b/>
          <w:bCs/>
          <w:lang w:val="id"/>
        </w:rPr>
        <w:t xml:space="preserve">Sesi 7 harus dijalankan dengan hati-hati.</w:t>
      </w:r>
      <w:r>
        <w:rPr>
          <w:lang w:val="id"/>
        </w:rPr>
        <w:t xml:space="preserve"> </w:t>
      </w:r>
      <w:r>
        <w:rPr>
          <w:lang w:val="id"/>
        </w:rPr>
        <w:t xml:space="preserve">Peserta akan melihat</w:t>
      </w:r>
      <w:r>
        <w:rPr>
          <w:lang w:val="id"/>
        </w:rPr>
        <w:t xml:space="preserve"> </w:t>
      </w:r>
      <m:oMath>
        <m:r>
          <m:t>t</m:t>
        </m:r>
        <m:r>
          <m:rPr>
            <m:sty m:val="p"/>
          </m:rPr>
          <m:t>=</m:t>
        </m:r>
        <m:r>
          <m:t>4</m:t>
        </m:r>
        <m:r>
          <m:rPr>
            <m:sty m:val="p"/>
          </m:rPr>
          <m:t>,</m:t>
        </m:r>
        <m:r>
          <m:t>305</m:t>
        </m:r>
      </m:oMath>
      <w:r>
        <w:rPr>
          <w:lang w:val="id"/>
        </w:rPr>
        <w:t xml:space="preserve"> </w:t>
      </w:r>
      <w:r>
        <w:rPr>
          <w:lang w:val="id"/>
        </w:rPr>
        <w:t xml:space="preserve">dan menyimpulkan TAA bekerja. Biarkan mereka menyimpulkan demikian. Baru kemudian tampilkan baris Sharpe. Urutan ini menghasilkan pembelajaran yang jauh lebih dalam daripada menyajikan kedua angka bersamaan.</w:t>
      </w:r>
    </w:p>
    <w:bookmarkEnd w:id="38"/>
    <w:bookmarkStart w:id="39" w:name="momen-pengajaran-kunci"/>
    <w:p>
      <w:pPr>
        <w:pStyle w:val="Heading3"/>
      </w:pPr>
      <w:r>
        <w:rPr>
          <w:lang w:val="id"/>
        </w:rPr>
        <w:t xml:space="preserve">Momen pengajaran kunci</w:t>
      </w:r>
    </w:p>
    <w:p>
      <w:pPr>
        <w:pStyle w:val="FirstParagraph"/>
      </w:pPr>
      <w:r>
        <w:rPr>
          <w:b/>
          <w:bCs/>
          <w:lang w:val="id"/>
        </w:rPr>
        <w:t xml:space="preserve">Angka</w:t>
      </w:r>
      <w:r>
        <w:rPr>
          <w:b/>
          <w:bCs/>
          <w:lang w:val="id"/>
        </w:rPr>
        <w:t xml:space="preserve"> </w:t>
      </w:r>
      <m:oMath>
        <m:r>
          <m:t>δ</m:t>
        </m:r>
        <m:r>
          <m:rPr>
            <m:sty m:val="p"/>
          </m:rPr>
          <m:t>=</m:t>
        </m:r>
        <m:r>
          <m:t>1</m:t>
        </m:r>
        <m:r>
          <m:rPr>
            <m:sty m:val="p"/>
          </m:rPr>
          <m:t>,</m:t>
        </m:r>
        <m:r>
          <m:t>0</m:t>
        </m:r>
      </m:oMath>
      <w:r>
        <w:rPr>
          <w:b/>
          <w:bCs/>
          <w:lang w:val="id"/>
        </w:rPr>
        <w:t xml:space="preserve"> </w:t>
      </w:r>
      <w:r>
        <w:rPr>
          <w:b/>
          <w:bCs/>
          <w:lang w:val="id"/>
        </w:rPr>
        <w:t xml:space="preserve">pada Contoh 2 sering tidak dipercaya peserta.</w:t>
      </w:r>
      <w:r>
        <w:rPr>
          <w:lang w:val="id"/>
        </w:rPr>
        <w:t xml:space="preserve"> </w:t>
      </w:r>
      <w:r>
        <w:rPr>
          <w:lang w:val="id"/>
        </w:rPr>
        <w:t xml:space="preserve">Bahwa mengabaikan data sepenuhnya mengalahkan memakainya terasa mustahil. Kaitkan dengan L3.1: RMSE 4,64 pp pada besaran yang rentangnya hanya 6 pp berarti data itu nyaris seluruhnya derau.</w:t>
      </w:r>
    </w:p>
    <w:p>
      <w:pPr>
        <w:pStyle w:val="BodyText"/>
      </w:pPr>
      <w:r>
        <w:rPr>
          <w:b/>
          <w:bCs/>
          <w:lang w:val="id"/>
        </w:rPr>
        <w:t xml:space="preserve">Black-Litterman sering diajarkan sebagai rumus.</w:t>
      </w:r>
      <w:r>
        <w:rPr>
          <w:lang w:val="id"/>
        </w:rPr>
        <w:t xml:space="preserve"> </w:t>
      </w:r>
      <w:r>
        <w:rPr>
          <w:lang w:val="id"/>
        </w:rPr>
        <w:t xml:space="preserve">Jangan. Ajarkan sebagai</w:t>
      </w:r>
      <w:r>
        <w:rPr>
          <w:lang w:val="id"/>
        </w:rPr>
        <w:t xml:space="preserve"> </w:t>
      </w:r>
      <w:r>
        <w:rPr>
          <w:b/>
          <w:bCs/>
          <w:lang w:val="id"/>
        </w:rPr>
        <w:t xml:space="preserve">pertanyaan</w:t>
      </w:r>
      <w:r>
        <w:rPr>
          <w:lang w:val="id"/>
        </w:rPr>
        <w:t xml:space="preserve">:</w:t>
      </w:r>
      <w:r>
        <w:rPr>
          <w:lang w:val="id"/>
        </w:rPr>
        <w:t xml:space="preserve"> </w:t>
      </w:r>
      <w:r>
        <w:rPr>
          <w:i/>
          <w:iCs/>
          <w:lang w:val="id"/>
        </w:rPr>
        <w:t xml:space="preserve">“apa yang saya ketahui yang tidak diketahui pasar?”</w:t>
      </w:r>
      <w:r>
        <w:rPr>
          <w:lang w:val="id"/>
        </w:rPr>
        <w:t xml:space="preserve"> </w:t>
      </w:r>
      <w:r>
        <w:rPr>
          <w:lang w:val="id"/>
        </w:rPr>
        <w:t xml:space="preserve">Peserta yang menguasai pertanyaan itu tetapi lupa rumusnya jauh lebih siap daripada sebaliknya.</w:t>
      </w:r>
    </w:p>
    <w:p>
      <w:pPr>
        <w:pStyle w:val="BodyText"/>
      </w:pPr>
      <w:r>
        <w:rPr>
          <w:b/>
          <w:bCs/>
          <w:lang w:val="id"/>
        </w:rPr>
        <w:t xml:space="preserve">Hubungkan §4.7 kembali ke L2.3 secara eksplisit.</w:t>
      </w:r>
      <w:r>
        <w:rPr>
          <w:lang w:val="id"/>
        </w:rPr>
        <w:t xml:space="preserve"> </w:t>
      </w:r>
      <w:r>
        <w:rPr>
          <w:lang w:val="id"/>
        </w:rPr>
        <w:t xml:space="preserve">Peserta Jalur Trader akan mengenali polanya langsung: mereka sudah melihatnya pada divergensi RSI dan Fibonacci. Di sini polanya muncul pada tingkat portofolio.</w:t>
      </w:r>
    </w:p>
    <w:bookmarkEnd w:id="39"/>
    <w:bookmarkStart w:id="40"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Membaca bobot uang sebagai bobot risiko</w:t>
            </w:r>
          </w:p>
        </w:tc>
        <w:tc>
          <w:tcPr/>
          <w:p>
            <w:pPr>
              <w:pStyle w:val="Compact"/>
            </w:pPr>
            <w:r>
              <w:rPr>
                <w:lang w:val="id"/>
              </w:rPr>
              <w:t xml:space="preserve">§4.2; 60/40 adalah 90,8/9,1 dalam risiko</w:t>
            </w:r>
          </w:p>
        </w:tc>
      </w:tr>
      <w:tr>
        <w:tc>
          <w:tcPr/>
          <w:p>
            <w:pPr>
              <w:pStyle w:val="Compact"/>
            </w:pPr>
            <w:r>
              <w:rPr>
                <w:lang w:val="id"/>
              </w:rPr>
              <w:t xml:space="preserve">Menyajikan paritas risiko tanpa menyebut biayanya</w:t>
            </w:r>
          </w:p>
        </w:tc>
        <w:tc>
          <w:tcPr/>
          <w:p>
            <w:pPr>
              <w:pStyle w:val="Compact"/>
            </w:pPr>
            <w:r>
              <w:rPr>
                <w:lang w:val="id"/>
              </w:rPr>
              <w:t xml:space="preserve">Contoh 1 Langkah 5; 60,46% pada aset imbal hasil terendah</w:t>
            </w:r>
          </w:p>
        </w:tc>
      </w:tr>
      <w:tr>
        <w:tc>
          <w:tcPr/>
          <w:p>
            <w:pPr>
              <w:pStyle w:val="Compact"/>
            </w:pPr>
            <w:r>
              <w:rPr>
                <w:lang w:val="id"/>
              </w:rPr>
              <w:t xml:space="preserve">Mengusulkan ungkitan untuk paritas risiko tanpa analisis</w:t>
            </w:r>
          </w:p>
        </w:tc>
        <w:tc>
          <w:tcPr/>
          <w:p>
            <w:pPr>
              <w:pStyle w:val="Compact"/>
            </w:pPr>
            <w:r>
              <w:rPr>
                <w:lang w:val="id"/>
              </w:rPr>
              <w:t xml:space="preserve">§4.3; risiko pendanaan dan margin call — bahasan L3T.3</w:t>
            </w:r>
          </w:p>
        </w:tc>
      </w:tr>
      <w:tr>
        <w:tc>
          <w:tcPr/>
          <w:p>
            <w:pPr>
              <w:pStyle w:val="Compact"/>
            </w:pPr>
            <w:r>
              <w:rPr>
                <w:lang w:val="id"/>
              </w:rPr>
              <w:t xml:space="preserve">Mengklaim bonus penyeimbangan ulang</w:t>
            </w:r>
          </w:p>
        </w:tc>
        <w:tc>
          <w:tcPr/>
          <w:p>
            <w:pPr>
              <w:pStyle w:val="Compact"/>
            </w:pPr>
            <w:r>
              <w:rPr>
                <w:lang w:val="id"/>
              </w:rPr>
              <w:t xml:space="preserve">Contoh 4 Langkah 3; CAGR tanpa penyeimbangan justru tertinggi</w:t>
            </w:r>
          </w:p>
        </w:tc>
      </w:tr>
      <w:tr>
        <w:tc>
          <w:tcPr/>
          <w:p>
            <w:pPr>
              <w:pStyle w:val="Compact"/>
            </w:pPr>
            <w:r>
              <w:rPr>
                <w:lang w:val="id"/>
              </w:rPr>
              <w:t xml:space="preserve">Memakai pita penyeimbangan yang terlalu ketat</w:t>
            </w:r>
          </w:p>
        </w:tc>
        <w:tc>
          <w:tcPr/>
          <w:p>
            <w:pPr>
              <w:pStyle w:val="Compact"/>
            </w:pPr>
            <w:r>
              <w:rPr>
                <w:lang w:val="id"/>
              </w:rPr>
              <w:t xml:space="preserve">Contoh 4 Langkah 5; pita 5% menghasilkan Sharpe terendah</w:t>
            </w:r>
          </w:p>
        </w:tc>
      </w:tr>
      <w:tr>
        <w:tc>
          <w:tcPr/>
          <w:p>
            <w:pPr>
              <w:pStyle w:val="Compact"/>
            </w:pPr>
            <w:r>
              <w:rPr>
                <w:lang w:val="id"/>
              </w:rPr>
              <w:t xml:space="preserve">Menerima TAA karena</w:t>
            </w:r>
            <w:r>
              <w:rPr>
                <w:lang w:val="id"/>
              </w:rPr>
              <w:t xml:space="preserve"> </w:t>
            </w:r>
            <m:oMath>
              <m:r>
                <m:t>t</m:t>
              </m:r>
            </m:oMath>
            <w:r>
              <w:rPr>
                <w:lang w:val="id"/>
              </w:rPr>
              <w:t xml:space="preserve">-nya besar</w:t>
            </w:r>
          </w:p>
        </w:tc>
        <w:tc>
          <w:tcPr/>
          <w:p>
            <w:pPr>
              <w:pStyle w:val="Compact"/>
            </w:pPr>
            <w:r>
              <w:rPr>
                <w:lang w:val="id"/>
              </w:rPr>
              <w:t xml:space="preserve">Contoh 4 Bagian B; lolos satu dari empat kriteria</w:t>
            </w:r>
          </w:p>
        </w:tc>
      </w:tr>
      <w:tr>
        <w:tc>
          <w:tcPr/>
          <w:p>
            <w:pPr>
              <w:pStyle w:val="Compact"/>
            </w:pPr>
            <w:r>
              <w:rPr>
                <w:lang w:val="id"/>
              </w:rPr>
              <w:t xml:space="preserve">Mengubah SAA karena kinerja kuartalan</w:t>
            </w:r>
          </w:p>
        </w:tc>
        <w:tc>
          <w:tcPr/>
          <w:p>
            <w:pPr>
              <w:pStyle w:val="Compact"/>
            </w:pPr>
            <w:r>
              <w:rPr>
                <w:lang w:val="id"/>
              </w:rPr>
              <w:t xml:space="preserve">§4.8 butir 5.1; itu mengubah SAA menjadi TAA yang dijalankan buruk</w:t>
            </w:r>
          </w:p>
        </w:tc>
      </w:tr>
    </w:tbl>
    <w:bookmarkEnd w:id="40"/>
    <w:bookmarkStart w:id="41" w:name="aturan-keras-bagi-fasilitator"/>
    <w:p>
      <w:pPr>
        <w:pStyle w:val="Heading3"/>
      </w:pPr>
      <w:r>
        <w:rPr>
          <w:lang w:val="id"/>
        </w:rPr>
        <w:t xml:space="preserve">Aturan keras bagi fasilitator</w:t>
      </w:r>
    </w:p>
    <w:p>
      <w:pPr>
        <w:pStyle w:val="Compact"/>
        <w:numPr>
          <w:ilvl w:val="0"/>
          <w:numId w:val="1008"/>
        </w:numPr>
      </w:pPr>
      <w:r>
        <w:rPr>
          <w:b/>
          <w:bCs/>
          <w:lang w:val="id"/>
        </w:rPr>
        <w:t xml:space="preserve">Dilarang menyajikan bobot alokasi tertentu sebagai rekomendasi</w:t>
      </w:r>
      <w:r>
        <w:rPr>
          <w:lang w:val="id"/>
        </w:rPr>
        <w:t xml:space="preserve"> </w:t>
      </w:r>
      <w:r>
        <w:rPr>
          <w:lang w:val="id"/>
        </w:rPr>
        <w:t xml:space="preserve">bagi peserta atau bagi kelompok peserta. Seluruh alokasi dalam modul ini adalah ilustrasi perhitungan.</w:t>
      </w:r>
    </w:p>
    <w:p>
      <w:pPr>
        <w:pStyle w:val="Compact"/>
        <w:numPr>
          <w:ilvl w:val="0"/>
          <w:numId w:val="1008"/>
        </w:numPr>
      </w:pPr>
      <w:r>
        <w:rPr>
          <w:b/>
          <w:bCs/>
          <w:lang w:val="id"/>
        </w:rPr>
        <w:t xml:space="preserve">Dilarang menyebutkan produk, dana, atau penerbit indeks tertentu sebagai layak dibeli</w:t>
      </w:r>
      <w:r>
        <w:rPr>
          <w:lang w:val="id"/>
        </w:rPr>
        <w:t xml:space="preserve">, dan dilarang memberikan proyeksi imbal hasil untuk produk nyata.</w:t>
      </w:r>
    </w:p>
    <w:p>
      <w:pPr>
        <w:pStyle w:val="Compact"/>
        <w:numPr>
          <w:ilvl w:val="0"/>
          <w:numId w:val="1008"/>
        </w:numPr>
      </w:pPr>
      <w:r>
        <w:rPr>
          <w:b/>
          <w:bCs/>
          <w:lang w:val="id"/>
        </w:rPr>
        <w:t xml:space="preserve">Dilarang mengajarkan paritas risiko berungkit sebagai strategi yang dapat diterapkan peserta ritel</w:t>
      </w:r>
      <w:r>
        <w:rPr>
          <w:lang w:val="id"/>
        </w:rPr>
        <w:t xml:space="preserve"> </w:t>
      </w:r>
      <w:r>
        <w:rPr>
          <w:lang w:val="id"/>
        </w:rPr>
        <w:t xml:space="preserve">tanpa menyatakan secara eksplisit risiko pendanaan, risiko margin call, dan bahwa jalur ini umumnya tidak layak bagi investor ritel.</w:t>
      </w:r>
    </w:p>
    <w:p>
      <w:pPr>
        <w:pStyle w:val="Compact"/>
        <w:numPr>
          <w:ilvl w:val="0"/>
          <w:numId w:val="1008"/>
        </w:numPr>
      </w:pPr>
      <w:r>
        <w:rPr>
          <w:b/>
          <w:bCs/>
          <w:lang w:val="id"/>
        </w:rPr>
        <w:t xml:space="preserve">Dilarang menyajikan hasil simulasi mana pun dalam modul ini sebagai prediksi.</w:t>
      </w:r>
      <w:r>
        <w:rPr>
          <w:lang w:val="id"/>
        </w:rPr>
        <w:t xml:space="preserve"> </w:t>
      </w:r>
      <w:r>
        <w:rPr>
          <w:lang w:val="id"/>
        </w:rPr>
        <w:t xml:space="preserve">Setiap penyajiannya wajib disertai asumsi pembangkit datanya.</w:t>
      </w:r>
    </w:p>
    <w:p>
      <w:pPr>
        <w:pStyle w:val="Compact"/>
        <w:numPr>
          <w:ilvl w:val="0"/>
          <w:numId w:val="1008"/>
        </w:numPr>
      </w:pPr>
      <w:r>
        <w:rPr>
          <w:b/>
          <w:bCs/>
          <w:lang w:val="id"/>
        </w:rPr>
        <w:t xml:space="preserve">Dilarang menerima imbalan, komisi, atau biaya rujukan</w:t>
      </w:r>
      <w:r>
        <w:rPr>
          <w:lang w:val="id"/>
        </w:rPr>
        <w:t xml:space="preserve"> </w:t>
      </w:r>
      <w:r>
        <w:rPr>
          <w:lang w:val="id"/>
        </w:rPr>
        <w:t xml:space="preserve">dari manajer investasi, penyedia produk, platform, atau penerbit indeks yang disinggung di kelas. Kepentingan finansial apa pun wajib diungkapkan di awal sesi.</w:t>
      </w:r>
    </w:p>
    <w:p>
      <w:pPr>
        <w:pStyle w:val="Compact"/>
        <w:numPr>
          <w:ilvl w:val="0"/>
          <w:numId w:val="1008"/>
        </w:numPr>
      </w:pPr>
      <w:r>
        <w:rPr>
          <w:b/>
          <w:bCs/>
          <w:lang w:val="id"/>
        </w:rPr>
        <w:t xml:space="preserve">Wajib menyampaikan</w:t>
      </w:r>
      <w:r>
        <w:rPr>
          <w:lang w:val="id"/>
        </w:rPr>
        <w:t xml:space="preserve"> </w:t>
      </w:r>
      <w:r>
        <w:rPr>
          <w:lang w:val="id"/>
        </w:rPr>
        <w:t xml:space="preserve">bahwa tidak ada alokasi yang menghilangkan risiko kerugian, dan bahwa alokasi yang tepat bergantung pada keadaan pribadi yang tidak dapat dinilai dalam konteks kelas.</w:t>
      </w:r>
    </w:p>
    <w:p>
      <w:r>
        <w:pict>
          <v:rect style="width:0;height:1.5pt" o:hralign="center" o:hrstd="t" o:hr="t"/>
        </w:pict>
      </w:r>
    </w:p>
    <w:bookmarkEnd w:id="41"/>
    <w:bookmarkEnd w:id="42"/>
    <w:bookmarkStart w:id="43"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lang w:val="id"/>
        </w:rPr>
        <w:t xml:space="preserve">Seluruh bobot alokasi, imbal hasil harapan, volatilitas, korelasi, dan hasil simulasi dalam modul ini bersifat</w:t>
      </w:r>
      <w:r>
        <w:rPr>
          <w:lang w:val="id"/>
        </w:rPr>
        <w:t xml:space="preserve"> </w:t>
      </w:r>
      <w:r>
        <w:rPr>
          <w:b/>
          <w:bCs/>
          <w:lang w:val="id"/>
        </w:rPr>
        <w:t xml:space="preserve">ilustratif atau berasal dari data simulasi</w:t>
      </w:r>
      <w:r>
        <w:rPr>
          <w:lang w:val="id"/>
        </w:rPr>
        <w:t xml:space="preserve"> </w:t>
      </w:r>
      <w:r>
        <w:rPr>
          <w:lang w:val="id"/>
        </w:rPr>
        <w:t xml:space="preserve">yang dihasilkan untuk keperluan pengajaran. Angka-angka tersebut tidak mewakili kinerja kelas aset, produk, atau strategi nyata mana pun.</w:t>
      </w:r>
    </w:p>
    <w:p>
      <w:pPr>
        <w:pStyle w:val="BodyText"/>
      </w:pPr>
      <w:r>
        <w:rPr>
          <w:lang w:val="id"/>
        </w:rPr>
        <w:t xml:space="preserve">Bobot alokasi yang muncul dalam contoh-contoh modul ini</w:t>
      </w:r>
      <w:r>
        <w:rPr>
          <w:lang w:val="id"/>
        </w:rPr>
        <w:t xml:space="preserve"> </w:t>
      </w:r>
      <w:r>
        <w:rPr>
          <w:b/>
          <w:bCs/>
          <w:lang w:val="id"/>
        </w:rPr>
        <w:t xml:space="preserve">bukan rekomendasi alokasi</w:t>
      </w:r>
      <w:r>
        <w:rPr>
          <w:lang w:val="id"/>
        </w:rPr>
        <w:t xml:space="preserve"> </w:t>
      </w:r>
      <w:r>
        <w:rPr>
          <w:lang w:val="id"/>
        </w:rPr>
        <w:t xml:space="preserve">bagi pembaca mana pun. Alokasi yang tepat bergantung pada tujuan, cakrawala, kewajiban, dan toleransi risiko masing-masing individu, yang tidak dapat dinilai melalui materi ajar.</w:t>
      </w:r>
    </w:p>
    <w:p>
      <w:pPr>
        <w:pStyle w:val="BodyText"/>
      </w:pPr>
      <w:r>
        <w:rPr>
          <w:lang w:val="id"/>
        </w:rPr>
        <w:t xml:space="preserve">Hasil simulasi pada §4.6 dan §4.7 berasal dari proses pembangkit data tertentu dengan asumsi yang dinyatakan eksplisit, termasuk asumsi bahwa imbal hasil bebas antarperiode. Hasil tersebut menggambarkan sifat umum pertukaran biaya-risiko dan tidak boleh diperlakukan sebagai prediksi kinerja kebijakan mana pun pada pasar nyata.</w:t>
      </w:r>
    </w:p>
    <w:p>
      <w:pPr>
        <w:pStyle w:val="BodyText"/>
      </w:pPr>
      <w:r>
        <w:rPr>
          <w:lang w:val="id"/>
        </w:rPr>
        <w:t xml:space="preserve">Penggunaan ungkitan dalam strategi paritas risiko memperkenalkan risiko pendanaan dan risiko likuidasi paksa yang tidak tercakup dalam perhitungan tanpa ungkitan, dan umumnya tidak layak bagi investor ritel.</w:t>
      </w:r>
    </w:p>
    <w:p>
      <w:pPr>
        <w:pStyle w:val="BodyText"/>
      </w:pPr>
      <w:r>
        <w:rPr>
          <w:lang w:val="id"/>
        </w:rPr>
        <w:t xml:space="preserve">Kinerja masa lalu tidak menjamin hasil di masa depan. Investasi mengandung risiko kerugian, termasuk kehilangan seluruh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investasi sepenuhnya menjadi tanggung jawab masing-masing peserta.</w:t>
      </w:r>
    </w:p>
    <w:p>
      <w:r>
        <w:pict>
          <v:rect style="width:0;height:1.5pt" o:hralign="center" o:hrstd="t" o:hr="t"/>
        </w:pict>
      </w:r>
    </w:p>
    <w:p>
      <w:pPr>
        <w:pStyle w:val="FirstParagraph"/>
      </w:pPr>
      <w:r>
        <w:rPr>
          <w:i/>
          <w:iCs/>
          <w:lang w:val="id"/>
        </w:rPr>
        <w:t xml:space="preserve">Modul L3.2 — Kurikulum Invesmentpedia · Level 3 Pengelola Portofolio dan Sistem</w:t>
      </w:r>
    </w:p>
    <w:bookmarkEnd w:id="43"/>
    <w:bookmarkEnd w:id="44"/>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L3.2 — Alokasi Strategis dan Taktis</dc:title>
  <dc:creator>Invesmentpedia</dc:creator>
  <dc:language>id</dc:language>
  <cp:keywords/>
  <dcterms:created xsi:type="dcterms:W3CDTF">2026-09-20T09:43:35Z</dcterms:created>
  <dcterms:modified xsi:type="dcterms:W3CDTF">2026-09-20T09:43:35Z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3 Pengelola Portofolio · Modul Inti 2</vt:lpwstr>
  </property>
</Properties>
</file>